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atLeast"/>
        <w:ind w:firstLine="2400" w:firstLineChars="750"/>
        <w:rPr>
          <w:rFonts w:ascii="方正小标宋简体" w:hAnsi="方正小标宋简体" w:eastAsia="方正小标宋简体" w:cs="方正小标宋简体"/>
          <w:color w:val="333333"/>
          <w:kern w:val="0"/>
          <w:sz w:val="32"/>
          <w:szCs w:val="32"/>
          <w:shd w:val="clear" w:color="auto" w:fill="FFFFFF"/>
        </w:rPr>
      </w:pPr>
      <w:r>
        <w:rPr>
          <w:rFonts w:ascii="方正小标宋简体" w:hAnsi="方正小标宋简体" w:eastAsia="方正小标宋简体" w:cs="方正小标宋简体"/>
          <w:color w:val="333333"/>
          <w:kern w:val="0"/>
          <w:sz w:val="32"/>
          <w:szCs w:val="32"/>
          <w:shd w:val="clear" w:color="auto" w:fill="FFFFFF"/>
        </w:rPr>
        <w:t>连城县</w:t>
      </w:r>
      <w:r>
        <w:rPr>
          <w:rFonts w:hint="eastAsia" w:ascii="方正小标宋简体" w:hAnsi="方正小标宋简体" w:eastAsia="方正小标宋简体" w:cs="方正小标宋简体"/>
          <w:color w:val="333333"/>
          <w:kern w:val="0"/>
          <w:sz w:val="32"/>
          <w:szCs w:val="32"/>
          <w:shd w:val="clear" w:color="auto" w:fill="FFFFFF"/>
        </w:rPr>
        <w:t>罗坊</w:t>
      </w:r>
      <w:r>
        <w:rPr>
          <w:rFonts w:ascii="方正小标宋简体" w:hAnsi="方正小标宋简体" w:eastAsia="方正小标宋简体" w:cs="方正小标宋简体"/>
          <w:color w:val="333333"/>
          <w:kern w:val="0"/>
          <w:sz w:val="32"/>
          <w:szCs w:val="32"/>
          <w:shd w:val="clear" w:color="auto" w:fill="FFFFFF"/>
        </w:rPr>
        <w:t>乡人民政府</w:t>
      </w:r>
    </w:p>
    <w:p>
      <w:pPr>
        <w:widowControl/>
        <w:shd w:val="clear" w:color="auto" w:fill="FFFFFF"/>
        <w:spacing w:line="520" w:lineRule="atLeast"/>
        <w:jc w:val="center"/>
        <w:rPr>
          <w:rFonts w:ascii="方正小标宋简体" w:hAnsi="方正小标宋简体" w:eastAsia="方正小标宋简体" w:cs="方正小标宋简体"/>
          <w:color w:val="333333"/>
          <w:kern w:val="0"/>
          <w:sz w:val="32"/>
          <w:szCs w:val="32"/>
          <w:shd w:val="clear" w:color="auto" w:fill="FFFFFF"/>
        </w:rPr>
      </w:pPr>
      <w:r>
        <w:rPr>
          <w:rFonts w:hint="eastAsia" w:ascii="方正小标宋简体" w:hAnsi="方正小标宋简体" w:eastAsia="方正小标宋简体" w:cs="方正小标宋简体"/>
          <w:color w:val="333333"/>
          <w:kern w:val="0"/>
          <w:sz w:val="32"/>
          <w:szCs w:val="32"/>
          <w:shd w:val="clear" w:color="auto" w:fill="FFFFFF"/>
        </w:rPr>
        <w:t>招聘编外工作人员量化评分标准</w:t>
      </w:r>
    </w:p>
    <w:p>
      <w:pPr>
        <w:widowControl/>
        <w:snapToGrid w:val="0"/>
        <w:spacing w:line="360" w:lineRule="auto"/>
        <w:jc w:val="left"/>
        <w:rPr>
          <w:rFonts w:ascii="黑体" w:hAnsi="宋体" w:eastAsia="黑体" w:cs="宋体"/>
          <w:kern w:val="0"/>
          <w:sz w:val="32"/>
          <w:szCs w:val="32"/>
        </w:rPr>
      </w:pPr>
      <w:r>
        <w:rPr>
          <w:rFonts w:hint="eastAsia" w:ascii="黑体" w:hAnsi="宋体" w:eastAsia="黑体" w:cs="宋体"/>
          <w:color w:val="000000"/>
          <w:kern w:val="0"/>
          <w:sz w:val="32"/>
          <w:szCs w:val="32"/>
        </w:rPr>
        <w:t>一、基本分（65分-75分）</w:t>
      </w:r>
    </w:p>
    <w:p>
      <w:pPr>
        <w:widowControl/>
        <w:snapToGrid w:val="0"/>
        <w:spacing w:line="360" w:lineRule="auto"/>
        <w:ind w:firstLine="728"/>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1、政治素质好，热爱祖国，拥护党的基本路线和方针政策；</w:t>
      </w:r>
    </w:p>
    <w:p>
      <w:pPr>
        <w:widowControl/>
        <w:snapToGrid w:val="0"/>
        <w:spacing w:line="360" w:lineRule="auto"/>
        <w:ind w:firstLine="728"/>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2、学习成绩合格，有一定的口头表达和文字表达能力；</w:t>
      </w:r>
    </w:p>
    <w:p>
      <w:pPr>
        <w:widowControl/>
        <w:snapToGrid w:val="0"/>
        <w:spacing w:line="360" w:lineRule="auto"/>
        <w:ind w:firstLine="737"/>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3、具有敬业奉献精神，遵纪守法，作风正派。</w:t>
      </w:r>
    </w:p>
    <w:p>
      <w:pPr>
        <w:widowControl/>
        <w:snapToGrid w:val="0"/>
        <w:spacing w:line="360" w:lineRule="auto"/>
        <w:ind w:firstLine="594"/>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符合以上条件的，大学研究生以上学历的评定为75分，大学本科学历的评定为70分，大学专科学历的评定为65分。</w:t>
      </w:r>
    </w:p>
    <w:p>
      <w:pPr>
        <w:widowControl/>
        <w:snapToGrid w:val="0"/>
        <w:spacing w:line="360" w:lineRule="auto"/>
        <w:ind w:firstLine="582"/>
        <w:jc w:val="left"/>
        <w:rPr>
          <w:rFonts w:ascii="黑体" w:hAnsi="宋体" w:eastAsia="黑体" w:cs="宋体"/>
          <w:kern w:val="0"/>
          <w:sz w:val="32"/>
          <w:szCs w:val="32"/>
        </w:rPr>
      </w:pPr>
      <w:r>
        <w:rPr>
          <w:rFonts w:hint="eastAsia" w:ascii="黑体" w:hAnsi="宋体" w:eastAsia="黑体" w:cs="宋体"/>
          <w:color w:val="000000"/>
          <w:kern w:val="0"/>
          <w:sz w:val="32"/>
          <w:szCs w:val="32"/>
        </w:rPr>
        <w:t>二、加分条件</w:t>
      </w:r>
    </w:p>
    <w:p>
      <w:pPr>
        <w:widowControl/>
        <w:snapToGrid w:val="0"/>
        <w:spacing w:line="360" w:lineRule="auto"/>
        <w:ind w:firstLine="740"/>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1、中共党员加2分、中共预备党员加1分，该项目加分由县委组织部、户籍所在地乡（镇）党委或毕业学校党委提供组织关系证明。</w:t>
      </w:r>
    </w:p>
    <w:p>
      <w:pPr>
        <w:widowControl/>
        <w:snapToGrid w:val="0"/>
        <w:spacing w:line="360" w:lineRule="auto"/>
        <w:ind w:firstLine="7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2、有相关岗位工作经验者，从参加工作算起每年加2分（需提供相关证明）。</w:t>
      </w:r>
    </w:p>
    <w:p>
      <w:pPr>
        <w:widowControl/>
        <w:snapToGrid w:val="0"/>
        <w:spacing w:line="360" w:lineRule="auto"/>
        <w:ind w:firstLine="7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3、户籍在本县的加3分、户籍在本乡的加5分，此项加分仅取一项加分，不累加。</w:t>
      </w:r>
    </w:p>
    <w:p>
      <w:pPr>
        <w:widowControl/>
        <w:snapToGrid w:val="0"/>
        <w:spacing w:line="360" w:lineRule="auto"/>
        <w:ind w:firstLine="7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4、获得双学位的加3分。该项目加分由毕业生提供学位证书和中国学位与研究生教育信息网上查询的认证材料。</w:t>
      </w:r>
    </w:p>
    <w:p>
      <w:pPr>
        <w:widowControl/>
        <w:snapToGrid w:val="0"/>
        <w:spacing w:line="360" w:lineRule="auto"/>
        <w:ind w:firstLine="740"/>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5、烈士直系亲属（子女、孙子女、外孙子女）加5分。</w:t>
      </w:r>
    </w:p>
    <w:p>
      <w:pPr>
        <w:widowControl/>
        <w:snapToGrid w:val="0"/>
        <w:spacing w:line="360" w:lineRule="auto"/>
        <w:ind w:firstLine="7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6、少数民族的加5分。</w:t>
      </w:r>
    </w:p>
    <w:p>
      <w:pPr>
        <w:widowControl/>
        <w:snapToGrid w:val="0"/>
        <w:spacing w:line="360" w:lineRule="auto"/>
        <w:ind w:firstLine="7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7、家庭经济困难并就业困难的加3分。“家庭经济困难并就业困难”统一按毕业生本人当前享受最低生活保障金认定，申报家庭经济困难加分的人员，须提交县级民政部门出具的享受最低生活保障金的证明。</w:t>
      </w:r>
    </w:p>
    <w:p>
      <w:pPr>
        <w:widowControl/>
        <w:snapToGrid w:val="0"/>
        <w:spacing w:line="360" w:lineRule="auto"/>
        <w:ind w:firstLine="740"/>
        <w:jc w:val="left"/>
        <w:rPr>
          <w:rFonts w:ascii="仿宋_GB2312" w:hAnsi="宋体" w:eastAsia="仿宋_GB2312" w:cs="宋体"/>
          <w:color w:val="000000"/>
          <w:kern w:val="0"/>
          <w:sz w:val="32"/>
          <w:szCs w:val="32"/>
        </w:rPr>
      </w:pPr>
    </w:p>
    <w:p>
      <w:pPr>
        <w:tabs>
          <w:tab w:val="left" w:pos="6919"/>
        </w:tabs>
        <w:jc w:val="left"/>
        <w:rPr>
          <w:sz w:val="32"/>
          <w:szCs w:val="32"/>
        </w:rPr>
      </w:pPr>
    </w:p>
    <w:p>
      <w:pPr>
        <w:tabs>
          <w:tab w:val="left" w:pos="6919"/>
        </w:tabs>
        <w:jc w:val="left"/>
        <w:rPr>
          <w:sz w:val="32"/>
          <w:szCs w:val="32"/>
        </w:rPr>
      </w:pPr>
    </w:p>
    <w:p>
      <w:pPr>
        <w:tabs>
          <w:tab w:val="left" w:pos="6919"/>
        </w:tabs>
        <w:jc w:val="left"/>
        <w:rPr>
          <w:sz w:val="32"/>
          <w:szCs w:val="32"/>
        </w:rPr>
      </w:pPr>
    </w:p>
    <w:p>
      <w:pPr>
        <w:tabs>
          <w:tab w:val="left" w:pos="6919"/>
        </w:tabs>
        <w:jc w:val="left"/>
        <w:rPr>
          <w:sz w:val="32"/>
          <w:szCs w:val="32"/>
        </w:rPr>
      </w:pPr>
    </w:p>
    <w:p>
      <w:pPr>
        <w:tabs>
          <w:tab w:val="left" w:pos="6919"/>
        </w:tabs>
        <w:jc w:val="left"/>
        <w:rPr>
          <w:sz w:val="32"/>
          <w:szCs w:val="32"/>
        </w:rPr>
      </w:pPr>
    </w:p>
    <w:p>
      <w:pPr>
        <w:tabs>
          <w:tab w:val="left" w:pos="6919"/>
        </w:tabs>
        <w:jc w:val="left"/>
      </w:pPr>
    </w:p>
    <w:p>
      <w:pPr>
        <w:tabs>
          <w:tab w:val="left" w:pos="6919"/>
        </w:tabs>
        <w:jc w:val="left"/>
      </w:pPr>
    </w:p>
    <w:p>
      <w:pPr>
        <w:tabs>
          <w:tab w:val="left" w:pos="6919"/>
        </w:tabs>
        <w:jc w:val="left"/>
      </w:pPr>
    </w:p>
    <w:p>
      <w:pPr>
        <w:tabs>
          <w:tab w:val="left" w:pos="6919"/>
        </w:tabs>
        <w:jc w:val="left"/>
      </w:pPr>
    </w:p>
    <w:p>
      <w:pPr>
        <w:tabs>
          <w:tab w:val="left" w:pos="6919"/>
        </w:tabs>
        <w:jc w:val="left"/>
      </w:pPr>
    </w:p>
    <w:p>
      <w:pPr>
        <w:tabs>
          <w:tab w:val="left" w:pos="6919"/>
        </w:tabs>
        <w:jc w:val="left"/>
      </w:pPr>
    </w:p>
    <w:p>
      <w:pPr>
        <w:tabs>
          <w:tab w:val="left" w:pos="6919"/>
        </w:tabs>
        <w:jc w:val="left"/>
      </w:pPr>
    </w:p>
    <w:p>
      <w:pPr>
        <w:tabs>
          <w:tab w:val="left" w:pos="6919"/>
        </w:tabs>
        <w:jc w:val="left"/>
      </w:pPr>
    </w:p>
    <w:p>
      <w:pPr>
        <w:tabs>
          <w:tab w:val="left" w:pos="6919"/>
        </w:tabs>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Calibri Ligh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5C2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2017-06-19T08:21:38Z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