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2C" w:rsidRDefault="00502C2C" w:rsidP="00502C2C">
      <w:pPr>
        <w:spacing w:line="520" w:lineRule="exact"/>
        <w:rPr>
          <w:rFonts w:ascii="楷体_GB2312" w:eastAsia="楷体_GB2312" w:hAnsi="宋体" w:hint="eastAsia"/>
          <w:b/>
          <w:sz w:val="32"/>
          <w:szCs w:val="32"/>
        </w:rPr>
      </w:pPr>
      <w:r>
        <w:rPr>
          <w:rFonts w:ascii="楷体_GB2312" w:eastAsia="楷体_GB2312" w:hAnsi="宋体" w:hint="eastAsia"/>
          <w:b/>
          <w:sz w:val="32"/>
          <w:szCs w:val="32"/>
        </w:rPr>
        <w:t>附件：</w:t>
      </w:r>
    </w:p>
    <w:p w:rsidR="00502C2C" w:rsidRPr="00DC6A63" w:rsidRDefault="00502C2C" w:rsidP="00502C2C">
      <w:pPr>
        <w:spacing w:beforeLines="50" w:afterLines="50" w:line="520" w:lineRule="exact"/>
        <w:jc w:val="center"/>
        <w:rPr>
          <w:rFonts w:ascii="方正小标宋简体" w:eastAsia="方正小标宋简体"/>
          <w:sz w:val="36"/>
          <w:szCs w:val="36"/>
        </w:rPr>
      </w:pPr>
      <w:r w:rsidRPr="00DC6A63">
        <w:rPr>
          <w:rFonts w:ascii="方正小标宋简体" w:eastAsia="方正小标宋简体" w:hint="eastAsia"/>
          <w:sz w:val="36"/>
          <w:szCs w:val="36"/>
        </w:rPr>
        <w:t>长沙金霞经济开发区公开招聘工作人员计划表</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973"/>
        <w:gridCol w:w="961"/>
        <w:gridCol w:w="4106"/>
        <w:gridCol w:w="5664"/>
        <w:gridCol w:w="863"/>
        <w:gridCol w:w="1559"/>
      </w:tblGrid>
      <w:tr w:rsidR="00502C2C" w:rsidTr="00D318DA">
        <w:trPr>
          <w:trHeight w:val="447"/>
          <w:tblHeader/>
          <w:jc w:val="center"/>
        </w:trPr>
        <w:tc>
          <w:tcPr>
            <w:tcW w:w="498"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hint="eastAsia"/>
                <w:b/>
                <w:sz w:val="28"/>
                <w:szCs w:val="28"/>
              </w:rPr>
              <w:t>序号</w:t>
            </w:r>
          </w:p>
        </w:tc>
        <w:tc>
          <w:tcPr>
            <w:tcW w:w="973"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hint="eastAsia"/>
                <w:b/>
                <w:sz w:val="28"/>
                <w:szCs w:val="28"/>
              </w:rPr>
              <w:t>岗位名称</w:t>
            </w:r>
          </w:p>
        </w:tc>
        <w:tc>
          <w:tcPr>
            <w:tcW w:w="961"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b/>
                <w:sz w:val="28"/>
                <w:szCs w:val="28"/>
              </w:rPr>
              <w:t>岗位类别</w:t>
            </w:r>
          </w:p>
        </w:tc>
        <w:tc>
          <w:tcPr>
            <w:tcW w:w="4106"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hint="eastAsia"/>
                <w:b/>
                <w:sz w:val="28"/>
                <w:szCs w:val="28"/>
              </w:rPr>
              <w:t>岗位职责</w:t>
            </w:r>
          </w:p>
        </w:tc>
        <w:tc>
          <w:tcPr>
            <w:tcW w:w="5664"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hint="eastAsia"/>
                <w:b/>
                <w:sz w:val="28"/>
                <w:szCs w:val="28"/>
              </w:rPr>
              <w:t>岗位条件</w:t>
            </w:r>
          </w:p>
        </w:tc>
        <w:tc>
          <w:tcPr>
            <w:tcW w:w="863"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hint="eastAsia"/>
                <w:b/>
                <w:sz w:val="28"/>
                <w:szCs w:val="28"/>
              </w:rPr>
              <w:t>招聘人数</w:t>
            </w:r>
          </w:p>
        </w:tc>
        <w:tc>
          <w:tcPr>
            <w:tcW w:w="1559" w:type="dxa"/>
            <w:tcBorders>
              <w:bottom w:val="single" w:sz="4" w:space="0" w:color="auto"/>
            </w:tcBorders>
            <w:vAlign w:val="center"/>
          </w:tcPr>
          <w:p w:rsidR="00502C2C" w:rsidRDefault="00502C2C" w:rsidP="00D318DA">
            <w:pPr>
              <w:spacing w:line="280" w:lineRule="exact"/>
              <w:jc w:val="center"/>
              <w:rPr>
                <w:rFonts w:ascii="楷体_GB2312" w:eastAsia="楷体_GB2312"/>
                <w:b/>
                <w:sz w:val="28"/>
                <w:szCs w:val="28"/>
              </w:rPr>
            </w:pPr>
            <w:r>
              <w:rPr>
                <w:rFonts w:ascii="楷体_GB2312" w:eastAsia="楷体_GB2312" w:hint="eastAsia"/>
                <w:b/>
                <w:sz w:val="28"/>
                <w:szCs w:val="28"/>
              </w:rPr>
              <w:t>所在部门</w:t>
            </w:r>
          </w:p>
        </w:tc>
      </w:tr>
      <w:tr w:rsidR="00502C2C" w:rsidTr="00D318DA">
        <w:trPr>
          <w:trHeight w:val="739"/>
          <w:jc w:val="center"/>
        </w:trPr>
        <w:tc>
          <w:tcPr>
            <w:tcW w:w="498"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1</w:t>
            </w:r>
          </w:p>
        </w:tc>
        <w:tc>
          <w:tcPr>
            <w:tcW w:w="973"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绩效考核专干</w:t>
            </w:r>
          </w:p>
        </w:tc>
        <w:tc>
          <w:tcPr>
            <w:tcW w:w="961"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管理岗</w:t>
            </w:r>
          </w:p>
        </w:tc>
        <w:tc>
          <w:tcPr>
            <w:tcW w:w="4106" w:type="dxa"/>
            <w:tcBorders>
              <w:top w:val="single" w:sz="12" w:space="0" w:color="auto"/>
              <w:bottom w:val="single" w:sz="4" w:space="0" w:color="auto"/>
            </w:tcBorders>
            <w:vAlign w:val="center"/>
          </w:tcPr>
          <w:p w:rsidR="00502C2C" w:rsidRDefault="00502C2C" w:rsidP="00D318DA">
            <w:pPr>
              <w:spacing w:line="280" w:lineRule="exact"/>
              <w:rPr>
                <w:rFonts w:ascii="仿宋_GB2312" w:eastAsia="仿宋_GB2312"/>
                <w:szCs w:val="21"/>
              </w:rPr>
            </w:pPr>
            <w:r>
              <w:rPr>
                <w:rFonts w:ascii="仿宋_GB2312" w:eastAsia="仿宋_GB2312" w:hint="eastAsia"/>
                <w:szCs w:val="21"/>
              </w:rPr>
              <w:t>负责园区绩效考核工作和督查工作。</w:t>
            </w:r>
          </w:p>
        </w:tc>
        <w:tc>
          <w:tcPr>
            <w:tcW w:w="5664" w:type="dxa"/>
            <w:tcBorders>
              <w:top w:val="single" w:sz="12" w:space="0" w:color="auto"/>
              <w:bottom w:val="single" w:sz="4" w:space="0" w:color="auto"/>
            </w:tcBorders>
            <w:vAlign w:val="center"/>
          </w:tcPr>
          <w:p w:rsidR="00502C2C" w:rsidRDefault="00502C2C" w:rsidP="00D318DA">
            <w:pPr>
              <w:spacing w:line="280" w:lineRule="exact"/>
              <w:rPr>
                <w:rFonts w:ascii="仿宋_GB2312" w:eastAsia="仿宋_GB2312"/>
                <w:bCs/>
                <w:spacing w:val="-14"/>
                <w:kern w:val="0"/>
                <w:szCs w:val="21"/>
              </w:rPr>
            </w:pPr>
            <w:r>
              <w:rPr>
                <w:rFonts w:ascii="仿宋_GB2312" w:eastAsia="仿宋_GB2312" w:hint="eastAsia"/>
                <w:bCs/>
                <w:spacing w:val="-10"/>
                <w:kern w:val="0"/>
                <w:szCs w:val="21"/>
              </w:rPr>
              <w:t>（1）年龄在35周岁以下；（2）全日制本科及以上学历，人力资源管理、中国语言文学类相关专业毕业；（3）有人力资源管理经验或人力资源资格证书者优先。</w:t>
            </w:r>
          </w:p>
        </w:tc>
        <w:tc>
          <w:tcPr>
            <w:tcW w:w="863"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1</w:t>
            </w:r>
          </w:p>
        </w:tc>
        <w:tc>
          <w:tcPr>
            <w:tcW w:w="1559" w:type="dxa"/>
            <w:vMerge w:val="restart"/>
            <w:tcBorders>
              <w:top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办公室</w:t>
            </w:r>
          </w:p>
        </w:tc>
      </w:tr>
      <w:tr w:rsidR="00502C2C" w:rsidTr="00D318DA">
        <w:trPr>
          <w:trHeight w:val="846"/>
          <w:jc w:val="center"/>
        </w:trPr>
        <w:tc>
          <w:tcPr>
            <w:tcW w:w="498" w:type="dxa"/>
            <w:tcBorders>
              <w:top w:val="single" w:sz="4"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2</w:t>
            </w:r>
          </w:p>
        </w:tc>
        <w:tc>
          <w:tcPr>
            <w:tcW w:w="973" w:type="dxa"/>
            <w:tcBorders>
              <w:top w:val="single" w:sz="4"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非公党建专干</w:t>
            </w:r>
          </w:p>
        </w:tc>
        <w:tc>
          <w:tcPr>
            <w:tcW w:w="961" w:type="dxa"/>
            <w:tcBorders>
              <w:top w:val="single" w:sz="4"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管理岗</w:t>
            </w:r>
          </w:p>
        </w:tc>
        <w:tc>
          <w:tcPr>
            <w:tcW w:w="4106" w:type="dxa"/>
            <w:tcBorders>
              <w:top w:val="single" w:sz="4" w:space="0" w:color="auto"/>
              <w:bottom w:val="single" w:sz="4" w:space="0" w:color="auto"/>
            </w:tcBorders>
            <w:vAlign w:val="center"/>
          </w:tcPr>
          <w:p w:rsidR="00502C2C" w:rsidRDefault="00502C2C" w:rsidP="00D318DA">
            <w:pPr>
              <w:spacing w:line="280" w:lineRule="exact"/>
              <w:rPr>
                <w:rFonts w:ascii="仿宋_GB2312" w:eastAsia="仿宋_GB2312"/>
                <w:szCs w:val="21"/>
              </w:rPr>
            </w:pPr>
            <w:r>
              <w:rPr>
                <w:rFonts w:ascii="仿宋_GB2312" w:eastAsia="仿宋_GB2312" w:hint="eastAsia"/>
                <w:szCs w:val="21"/>
              </w:rPr>
              <w:t>负责</w:t>
            </w:r>
            <w:proofErr w:type="gramStart"/>
            <w:r>
              <w:rPr>
                <w:rFonts w:ascii="仿宋_GB2312" w:eastAsia="仿宋_GB2312" w:hint="eastAsia"/>
                <w:szCs w:val="21"/>
              </w:rPr>
              <w:t>园区非</w:t>
            </w:r>
            <w:proofErr w:type="gramEnd"/>
            <w:r>
              <w:rPr>
                <w:rFonts w:ascii="仿宋_GB2312" w:eastAsia="仿宋_GB2312" w:hint="eastAsia"/>
                <w:szCs w:val="21"/>
              </w:rPr>
              <w:t>公企业党建日常事务工作。</w:t>
            </w:r>
          </w:p>
        </w:tc>
        <w:tc>
          <w:tcPr>
            <w:tcW w:w="5664" w:type="dxa"/>
            <w:tcBorders>
              <w:top w:val="single" w:sz="4" w:space="0" w:color="auto"/>
            </w:tcBorders>
            <w:vAlign w:val="center"/>
          </w:tcPr>
          <w:p w:rsidR="00502C2C" w:rsidRDefault="00502C2C" w:rsidP="00D318DA">
            <w:pPr>
              <w:spacing w:line="280" w:lineRule="exact"/>
              <w:rPr>
                <w:rFonts w:ascii="仿宋_GB2312" w:eastAsia="仿宋_GB2312"/>
                <w:bCs/>
                <w:spacing w:val="-10"/>
                <w:kern w:val="0"/>
                <w:szCs w:val="21"/>
              </w:rPr>
            </w:pPr>
            <w:r>
              <w:rPr>
                <w:rFonts w:ascii="仿宋_GB2312" w:eastAsia="仿宋_GB2312" w:hint="eastAsia"/>
                <w:bCs/>
                <w:spacing w:val="-10"/>
                <w:kern w:val="0"/>
                <w:szCs w:val="21"/>
              </w:rPr>
              <w:t>（1）中共党员或预备党员；（2）年龄在35周岁以下，哲学类、中国语言文学类、新闻传播学类、历史学相关专业毕业；（3）全日制本科及以上学历，有较强文字综合能力；（4）有1年以上行政机关事业单位办公室工作经历者优先。</w:t>
            </w:r>
          </w:p>
        </w:tc>
        <w:tc>
          <w:tcPr>
            <w:tcW w:w="863" w:type="dxa"/>
            <w:tcBorders>
              <w:top w:val="single" w:sz="4"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1</w:t>
            </w:r>
          </w:p>
        </w:tc>
        <w:tc>
          <w:tcPr>
            <w:tcW w:w="1559" w:type="dxa"/>
            <w:vMerge/>
            <w:vAlign w:val="center"/>
          </w:tcPr>
          <w:p w:rsidR="00502C2C" w:rsidRDefault="00502C2C" w:rsidP="00D318DA">
            <w:pPr>
              <w:spacing w:line="280" w:lineRule="exact"/>
              <w:jc w:val="center"/>
              <w:rPr>
                <w:rFonts w:ascii="仿宋_GB2312" w:eastAsia="仿宋_GB2312"/>
                <w:szCs w:val="21"/>
              </w:rPr>
            </w:pPr>
          </w:p>
        </w:tc>
      </w:tr>
      <w:tr w:rsidR="00502C2C" w:rsidTr="00D318DA">
        <w:trPr>
          <w:trHeight w:val="702"/>
          <w:jc w:val="center"/>
        </w:trPr>
        <w:tc>
          <w:tcPr>
            <w:tcW w:w="498" w:type="dxa"/>
            <w:tcBorders>
              <w:top w:val="single" w:sz="4"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3</w:t>
            </w:r>
          </w:p>
        </w:tc>
        <w:tc>
          <w:tcPr>
            <w:tcW w:w="973" w:type="dxa"/>
            <w:tcBorders>
              <w:top w:val="single" w:sz="4"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文书</w:t>
            </w:r>
          </w:p>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专干</w:t>
            </w:r>
          </w:p>
        </w:tc>
        <w:tc>
          <w:tcPr>
            <w:tcW w:w="961" w:type="dxa"/>
            <w:tcBorders>
              <w:top w:val="single" w:sz="4"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管理岗</w:t>
            </w:r>
          </w:p>
        </w:tc>
        <w:tc>
          <w:tcPr>
            <w:tcW w:w="4106" w:type="dxa"/>
            <w:tcBorders>
              <w:top w:val="single" w:sz="4" w:space="0" w:color="auto"/>
              <w:bottom w:val="single" w:sz="12" w:space="0" w:color="auto"/>
            </w:tcBorders>
            <w:vAlign w:val="center"/>
          </w:tcPr>
          <w:p w:rsidR="00502C2C" w:rsidRDefault="00502C2C" w:rsidP="00D318DA">
            <w:pPr>
              <w:spacing w:line="280" w:lineRule="exact"/>
              <w:rPr>
                <w:rFonts w:ascii="仿宋_GB2312" w:eastAsia="仿宋_GB2312"/>
                <w:szCs w:val="21"/>
              </w:rPr>
            </w:pPr>
            <w:r>
              <w:rPr>
                <w:rFonts w:ascii="仿宋_GB2312" w:eastAsia="仿宋_GB2312" w:hint="eastAsia"/>
                <w:szCs w:val="21"/>
              </w:rPr>
              <w:t>负责园区日常文书处理工作。</w:t>
            </w:r>
          </w:p>
        </w:tc>
        <w:tc>
          <w:tcPr>
            <w:tcW w:w="5664" w:type="dxa"/>
            <w:tcBorders>
              <w:bottom w:val="single" w:sz="12" w:space="0" w:color="auto"/>
            </w:tcBorders>
            <w:vAlign w:val="center"/>
          </w:tcPr>
          <w:p w:rsidR="00502C2C" w:rsidRDefault="00502C2C" w:rsidP="00D318DA">
            <w:pPr>
              <w:spacing w:line="280" w:lineRule="exact"/>
              <w:rPr>
                <w:rFonts w:ascii="仿宋_GB2312" w:eastAsia="仿宋_GB2312"/>
                <w:bCs/>
                <w:spacing w:val="-10"/>
                <w:kern w:val="0"/>
                <w:szCs w:val="21"/>
              </w:rPr>
            </w:pPr>
            <w:r>
              <w:rPr>
                <w:rFonts w:ascii="仿宋_GB2312" w:eastAsia="仿宋_GB2312" w:hint="eastAsia"/>
                <w:bCs/>
                <w:spacing w:val="-10"/>
                <w:kern w:val="0"/>
                <w:szCs w:val="21"/>
              </w:rPr>
              <w:t>（1）年龄在35周岁以下；（2）全日制本科及以上学历，哲学类、中国语言文学类、新闻传播学类、历史学相关专业毕业，有较强文字综合能力；（3）有1年以上行政机关事业单位办公室工作经历者优先。</w:t>
            </w:r>
          </w:p>
        </w:tc>
        <w:tc>
          <w:tcPr>
            <w:tcW w:w="863" w:type="dxa"/>
            <w:tcBorders>
              <w:top w:val="single" w:sz="4"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1</w:t>
            </w:r>
          </w:p>
        </w:tc>
        <w:tc>
          <w:tcPr>
            <w:tcW w:w="1559" w:type="dxa"/>
            <w:vMerge/>
            <w:tcBorders>
              <w:bottom w:val="single" w:sz="12" w:space="0" w:color="auto"/>
            </w:tcBorders>
            <w:vAlign w:val="center"/>
          </w:tcPr>
          <w:p w:rsidR="00502C2C" w:rsidRDefault="00502C2C" w:rsidP="00D318DA">
            <w:pPr>
              <w:spacing w:line="280" w:lineRule="exact"/>
              <w:jc w:val="center"/>
              <w:rPr>
                <w:rFonts w:ascii="仿宋_GB2312" w:eastAsia="仿宋_GB2312"/>
                <w:szCs w:val="21"/>
              </w:rPr>
            </w:pPr>
          </w:p>
        </w:tc>
      </w:tr>
      <w:tr w:rsidR="00502C2C" w:rsidTr="00D318DA">
        <w:trPr>
          <w:trHeight w:val="865"/>
          <w:jc w:val="center"/>
        </w:trPr>
        <w:tc>
          <w:tcPr>
            <w:tcW w:w="498"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4</w:t>
            </w:r>
          </w:p>
        </w:tc>
        <w:tc>
          <w:tcPr>
            <w:tcW w:w="973"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房建项目审查专干</w:t>
            </w:r>
          </w:p>
        </w:tc>
        <w:tc>
          <w:tcPr>
            <w:tcW w:w="961"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专业岗</w:t>
            </w:r>
          </w:p>
        </w:tc>
        <w:tc>
          <w:tcPr>
            <w:tcW w:w="4106" w:type="dxa"/>
            <w:tcBorders>
              <w:top w:val="single" w:sz="12" w:space="0" w:color="auto"/>
              <w:bottom w:val="single" w:sz="4" w:space="0" w:color="auto"/>
            </w:tcBorders>
            <w:vAlign w:val="center"/>
          </w:tcPr>
          <w:p w:rsidR="00502C2C" w:rsidRDefault="00502C2C" w:rsidP="00D318DA">
            <w:pPr>
              <w:spacing w:line="280" w:lineRule="exact"/>
              <w:rPr>
                <w:rFonts w:ascii="仿宋_GB2312" w:eastAsia="仿宋_GB2312"/>
                <w:bCs/>
                <w:spacing w:val="-10"/>
                <w:kern w:val="0"/>
                <w:szCs w:val="21"/>
              </w:rPr>
            </w:pPr>
            <w:r>
              <w:rPr>
                <w:rFonts w:ascii="仿宋_GB2312" w:eastAsia="仿宋_GB2312" w:hAnsi="仿宋" w:cs="仿宋" w:hint="eastAsia"/>
                <w:szCs w:val="21"/>
              </w:rPr>
              <w:t>负责对园区范围内的房建类项目进行技术审查工作。</w:t>
            </w:r>
          </w:p>
        </w:tc>
        <w:tc>
          <w:tcPr>
            <w:tcW w:w="5664" w:type="dxa"/>
            <w:tcBorders>
              <w:top w:val="single" w:sz="12" w:space="0" w:color="auto"/>
              <w:bottom w:val="single" w:sz="4" w:space="0" w:color="auto"/>
            </w:tcBorders>
            <w:vAlign w:val="center"/>
          </w:tcPr>
          <w:p w:rsidR="00502C2C" w:rsidRDefault="00502C2C" w:rsidP="00D318DA">
            <w:pPr>
              <w:spacing w:line="280" w:lineRule="exact"/>
              <w:rPr>
                <w:rFonts w:ascii="仿宋_GB2312" w:eastAsia="仿宋_GB2312"/>
                <w:bCs/>
                <w:spacing w:val="-10"/>
                <w:kern w:val="0"/>
                <w:szCs w:val="21"/>
              </w:rPr>
            </w:pPr>
            <w:r>
              <w:rPr>
                <w:rFonts w:ascii="仿宋_GB2312" w:eastAsia="仿宋_GB2312" w:hint="eastAsia"/>
                <w:bCs/>
                <w:spacing w:val="-10"/>
                <w:kern w:val="0"/>
                <w:szCs w:val="21"/>
              </w:rPr>
              <w:t>（1）年龄在40周岁以下；（2）全日制本科以上学历，建筑学、土木工程相关专业毕业；（3）具有2年以上相关工作经历或具有中级以上职称者优先。</w:t>
            </w:r>
          </w:p>
        </w:tc>
        <w:tc>
          <w:tcPr>
            <w:tcW w:w="863" w:type="dxa"/>
            <w:tcBorders>
              <w:top w:val="single" w:sz="12" w:space="0" w:color="auto"/>
              <w:bottom w:val="single" w:sz="4"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1</w:t>
            </w:r>
          </w:p>
        </w:tc>
        <w:tc>
          <w:tcPr>
            <w:tcW w:w="1559" w:type="dxa"/>
            <w:tcBorders>
              <w:top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规划建设局</w:t>
            </w:r>
          </w:p>
        </w:tc>
      </w:tr>
      <w:tr w:rsidR="00502C2C" w:rsidTr="00D318DA">
        <w:trPr>
          <w:trHeight w:val="834"/>
          <w:jc w:val="center"/>
        </w:trPr>
        <w:tc>
          <w:tcPr>
            <w:tcW w:w="498"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5</w:t>
            </w:r>
          </w:p>
        </w:tc>
        <w:tc>
          <w:tcPr>
            <w:tcW w:w="973"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会计</w:t>
            </w:r>
          </w:p>
        </w:tc>
        <w:tc>
          <w:tcPr>
            <w:tcW w:w="961"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专业岗</w:t>
            </w:r>
          </w:p>
        </w:tc>
        <w:tc>
          <w:tcPr>
            <w:tcW w:w="4106" w:type="dxa"/>
            <w:tcBorders>
              <w:top w:val="single" w:sz="12" w:space="0" w:color="auto"/>
              <w:bottom w:val="single" w:sz="12" w:space="0" w:color="auto"/>
            </w:tcBorders>
            <w:vAlign w:val="center"/>
          </w:tcPr>
          <w:p w:rsidR="00502C2C" w:rsidRDefault="00502C2C" w:rsidP="00D318DA">
            <w:pPr>
              <w:spacing w:line="280" w:lineRule="exact"/>
              <w:rPr>
                <w:rFonts w:ascii="仿宋_GB2312" w:eastAsia="仿宋_GB2312"/>
                <w:bCs/>
                <w:spacing w:val="-10"/>
                <w:kern w:val="0"/>
                <w:szCs w:val="21"/>
              </w:rPr>
            </w:pPr>
            <w:r>
              <w:rPr>
                <w:rFonts w:ascii="仿宋_GB2312" w:eastAsia="仿宋_GB2312" w:hint="eastAsia"/>
                <w:bCs/>
                <w:spacing w:val="-10"/>
                <w:kern w:val="0"/>
                <w:szCs w:val="21"/>
              </w:rPr>
              <w:t>负责管委会账务处理、报表编制、档案管理、税收统计等财务管理工作。</w:t>
            </w:r>
          </w:p>
        </w:tc>
        <w:tc>
          <w:tcPr>
            <w:tcW w:w="5664" w:type="dxa"/>
            <w:tcBorders>
              <w:top w:val="single" w:sz="12" w:space="0" w:color="auto"/>
              <w:bottom w:val="single" w:sz="12" w:space="0" w:color="auto"/>
            </w:tcBorders>
            <w:vAlign w:val="center"/>
          </w:tcPr>
          <w:p w:rsidR="00502C2C" w:rsidRDefault="00502C2C" w:rsidP="00D318DA">
            <w:pPr>
              <w:spacing w:line="280" w:lineRule="exact"/>
              <w:rPr>
                <w:rFonts w:ascii="仿宋_GB2312" w:eastAsia="仿宋_GB2312"/>
                <w:bCs/>
                <w:spacing w:val="-10"/>
                <w:kern w:val="0"/>
                <w:szCs w:val="21"/>
              </w:rPr>
            </w:pPr>
            <w:r>
              <w:rPr>
                <w:rFonts w:ascii="仿宋_GB2312" w:eastAsia="仿宋_GB2312" w:hint="eastAsia"/>
                <w:bCs/>
                <w:spacing w:val="-10"/>
                <w:kern w:val="0"/>
                <w:szCs w:val="21"/>
              </w:rPr>
              <w:t>（1）年龄在35周岁以下；（2）全日制本科以上学历，财政学、会计学、财务管理相关专业毕业；（3）具有2年以上相关工作经历；（4）具有中级以上职称者优先。</w:t>
            </w:r>
          </w:p>
        </w:tc>
        <w:tc>
          <w:tcPr>
            <w:tcW w:w="863"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1</w:t>
            </w:r>
          </w:p>
        </w:tc>
        <w:tc>
          <w:tcPr>
            <w:tcW w:w="1559"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财政分局</w:t>
            </w:r>
          </w:p>
        </w:tc>
      </w:tr>
      <w:tr w:rsidR="00502C2C" w:rsidTr="00D318DA">
        <w:trPr>
          <w:trHeight w:val="242"/>
          <w:jc w:val="center"/>
        </w:trPr>
        <w:tc>
          <w:tcPr>
            <w:tcW w:w="498" w:type="dxa"/>
            <w:tcBorders>
              <w:top w:val="single" w:sz="12" w:space="0" w:color="auto"/>
              <w:bottom w:val="single" w:sz="12" w:space="0" w:color="auto"/>
            </w:tcBorders>
          </w:tcPr>
          <w:p w:rsidR="00502C2C" w:rsidRDefault="00502C2C" w:rsidP="00D318DA">
            <w:pPr>
              <w:spacing w:line="280" w:lineRule="exact"/>
              <w:jc w:val="center"/>
              <w:rPr>
                <w:rFonts w:ascii="楷体_GB2312" w:eastAsia="楷体_GB2312"/>
                <w:b/>
                <w:szCs w:val="21"/>
              </w:rPr>
            </w:pPr>
          </w:p>
        </w:tc>
        <w:tc>
          <w:tcPr>
            <w:tcW w:w="1934" w:type="dxa"/>
            <w:gridSpan w:val="2"/>
            <w:tcBorders>
              <w:top w:val="single" w:sz="12" w:space="0" w:color="auto"/>
              <w:bottom w:val="single" w:sz="12" w:space="0" w:color="auto"/>
            </w:tcBorders>
            <w:vAlign w:val="center"/>
          </w:tcPr>
          <w:p w:rsidR="00502C2C" w:rsidRDefault="00502C2C" w:rsidP="00D318DA">
            <w:pPr>
              <w:spacing w:line="280" w:lineRule="exact"/>
              <w:jc w:val="center"/>
              <w:rPr>
                <w:rFonts w:ascii="楷体_GB2312" w:eastAsia="楷体_GB2312"/>
                <w:b/>
                <w:szCs w:val="21"/>
              </w:rPr>
            </w:pPr>
            <w:r>
              <w:rPr>
                <w:rFonts w:ascii="楷体_GB2312" w:eastAsia="楷体_GB2312" w:hint="eastAsia"/>
                <w:b/>
                <w:szCs w:val="21"/>
              </w:rPr>
              <w:t>合   计</w:t>
            </w:r>
          </w:p>
        </w:tc>
        <w:tc>
          <w:tcPr>
            <w:tcW w:w="4106" w:type="dxa"/>
            <w:tcBorders>
              <w:top w:val="single" w:sz="12" w:space="0" w:color="auto"/>
              <w:bottom w:val="single" w:sz="12" w:space="0" w:color="auto"/>
            </w:tcBorders>
            <w:vAlign w:val="center"/>
          </w:tcPr>
          <w:p w:rsidR="00502C2C" w:rsidRDefault="00502C2C" w:rsidP="00D318DA">
            <w:pPr>
              <w:spacing w:line="280" w:lineRule="exact"/>
              <w:rPr>
                <w:rFonts w:ascii="仿宋_GB2312" w:eastAsia="仿宋_GB2312" w:hAnsi="仿宋"/>
                <w:szCs w:val="21"/>
              </w:rPr>
            </w:pPr>
          </w:p>
        </w:tc>
        <w:tc>
          <w:tcPr>
            <w:tcW w:w="5664" w:type="dxa"/>
            <w:tcBorders>
              <w:top w:val="single" w:sz="12" w:space="0" w:color="auto"/>
              <w:bottom w:val="single" w:sz="12" w:space="0" w:color="auto"/>
            </w:tcBorders>
            <w:vAlign w:val="center"/>
          </w:tcPr>
          <w:p w:rsidR="00502C2C" w:rsidRDefault="00502C2C" w:rsidP="00D318DA">
            <w:pPr>
              <w:spacing w:line="280" w:lineRule="exact"/>
              <w:rPr>
                <w:rFonts w:ascii="仿宋_GB2312" w:eastAsia="仿宋_GB2312"/>
                <w:bCs/>
                <w:spacing w:val="-20"/>
                <w:kern w:val="0"/>
                <w:szCs w:val="21"/>
              </w:rPr>
            </w:pPr>
          </w:p>
        </w:tc>
        <w:tc>
          <w:tcPr>
            <w:tcW w:w="863"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r>
              <w:rPr>
                <w:rFonts w:ascii="仿宋_GB2312" w:eastAsia="仿宋_GB2312" w:hint="eastAsia"/>
                <w:szCs w:val="21"/>
              </w:rPr>
              <w:t>5</w:t>
            </w:r>
          </w:p>
        </w:tc>
        <w:tc>
          <w:tcPr>
            <w:tcW w:w="1559" w:type="dxa"/>
            <w:tcBorders>
              <w:top w:val="single" w:sz="12" w:space="0" w:color="auto"/>
              <w:bottom w:val="single" w:sz="12" w:space="0" w:color="auto"/>
            </w:tcBorders>
            <w:vAlign w:val="center"/>
          </w:tcPr>
          <w:p w:rsidR="00502C2C" w:rsidRDefault="00502C2C" w:rsidP="00D318DA">
            <w:pPr>
              <w:spacing w:line="280" w:lineRule="exact"/>
              <w:jc w:val="center"/>
              <w:rPr>
                <w:rFonts w:ascii="仿宋_GB2312" w:eastAsia="仿宋_GB2312"/>
                <w:szCs w:val="21"/>
              </w:rPr>
            </w:pPr>
          </w:p>
        </w:tc>
      </w:tr>
    </w:tbl>
    <w:p w:rsidR="00502C2C" w:rsidRDefault="00502C2C" w:rsidP="00502C2C">
      <w:pPr>
        <w:spacing w:line="100" w:lineRule="exact"/>
        <w:jc w:val="center"/>
        <w:rPr>
          <w:rFonts w:ascii="仿宋_GB2312" w:eastAsia="仿宋_GB2312"/>
          <w:sz w:val="30"/>
          <w:szCs w:val="30"/>
        </w:rPr>
      </w:pPr>
    </w:p>
    <w:p w:rsidR="00DD266D" w:rsidRPr="00502C2C" w:rsidRDefault="00502C2C" w:rsidP="00502C2C">
      <w:pPr>
        <w:spacing w:line="280" w:lineRule="exact"/>
        <w:rPr>
          <w:rFonts w:ascii="仿宋_GB2312" w:eastAsia="仿宋_GB2312"/>
          <w:sz w:val="32"/>
          <w:szCs w:val="32"/>
        </w:rPr>
      </w:pPr>
      <w:r w:rsidRPr="00233EE9">
        <w:rPr>
          <w:rFonts w:ascii="仿宋_GB2312" w:eastAsia="仿宋_GB2312" w:hAnsi="仿宋" w:hint="eastAsia"/>
          <w:szCs w:val="21"/>
        </w:rPr>
        <w:t>备注：</w:t>
      </w:r>
      <w:r w:rsidRPr="00233EE9">
        <w:rPr>
          <w:rFonts w:ascii="仿宋_GB2312" w:eastAsia="仿宋_GB2312" w:hAnsi="仿宋"/>
          <w:szCs w:val="21"/>
        </w:rPr>
        <w:t>1</w:t>
      </w:r>
      <w:r w:rsidRPr="00233EE9">
        <w:rPr>
          <w:rFonts w:ascii="仿宋_GB2312" w:eastAsia="仿宋_GB2312" w:hAnsi="仿宋" w:hint="eastAsia"/>
          <w:szCs w:val="21"/>
        </w:rPr>
        <w:t>、</w:t>
      </w:r>
      <w:r>
        <w:rPr>
          <w:rFonts w:ascii="仿宋_GB2312" w:eastAsia="仿宋_GB2312" w:hAnsi="仿宋" w:hint="eastAsia"/>
          <w:szCs w:val="21"/>
        </w:rPr>
        <w:t>年龄在</w:t>
      </w:r>
      <w:r w:rsidRPr="00233EE9">
        <w:rPr>
          <w:rFonts w:ascii="仿宋_GB2312" w:eastAsia="仿宋_GB2312" w:hAnsi="仿宋"/>
          <w:szCs w:val="21"/>
        </w:rPr>
        <w:t>35</w:t>
      </w:r>
      <w:r w:rsidRPr="00233EE9">
        <w:rPr>
          <w:rFonts w:ascii="仿宋_GB2312" w:eastAsia="仿宋_GB2312" w:hAnsi="仿宋" w:hint="eastAsia"/>
          <w:szCs w:val="21"/>
        </w:rPr>
        <w:t>周岁以下是指</w:t>
      </w:r>
      <w:r>
        <w:rPr>
          <w:rFonts w:ascii="仿宋_GB2312" w:eastAsia="仿宋_GB2312" w:hAnsi="仿宋" w:hint="eastAsia"/>
          <w:szCs w:val="21"/>
        </w:rPr>
        <w:t>1983</w:t>
      </w:r>
      <w:r w:rsidRPr="00233EE9">
        <w:rPr>
          <w:rFonts w:ascii="仿宋_GB2312" w:eastAsia="仿宋_GB2312" w:hAnsi="仿宋" w:hint="eastAsia"/>
          <w:szCs w:val="21"/>
        </w:rPr>
        <w:t>年</w:t>
      </w:r>
      <w:r>
        <w:rPr>
          <w:rFonts w:ascii="仿宋_GB2312" w:eastAsia="仿宋_GB2312" w:hAnsi="仿宋" w:hint="eastAsia"/>
          <w:szCs w:val="21"/>
        </w:rPr>
        <w:t>9</w:t>
      </w:r>
      <w:r w:rsidRPr="00233EE9">
        <w:rPr>
          <w:rFonts w:ascii="仿宋_GB2312" w:eastAsia="仿宋_GB2312" w:hAnsi="仿宋" w:hint="eastAsia"/>
          <w:szCs w:val="21"/>
        </w:rPr>
        <w:t>月</w:t>
      </w:r>
      <w:r>
        <w:rPr>
          <w:rFonts w:ascii="仿宋_GB2312" w:eastAsia="仿宋_GB2312" w:hAnsi="仿宋" w:hint="eastAsia"/>
          <w:szCs w:val="21"/>
        </w:rPr>
        <w:t>17</w:t>
      </w:r>
      <w:r w:rsidRPr="00233EE9">
        <w:rPr>
          <w:rFonts w:ascii="仿宋_GB2312" w:eastAsia="仿宋_GB2312" w:hAnsi="仿宋" w:hint="eastAsia"/>
          <w:szCs w:val="21"/>
        </w:rPr>
        <w:t>日以后出生</w:t>
      </w:r>
      <w:r>
        <w:rPr>
          <w:rFonts w:ascii="仿宋_GB2312" w:eastAsia="仿宋_GB2312" w:hAnsi="仿宋" w:hint="eastAsia"/>
          <w:szCs w:val="21"/>
        </w:rPr>
        <w:t>，40周岁以下是指1978年9月17日以后出生；2、专业要求参照《</w:t>
      </w:r>
      <w:r w:rsidRPr="007404E0">
        <w:rPr>
          <w:rFonts w:ascii="仿宋_GB2312" w:eastAsia="仿宋_GB2312" w:hAnsi="仿宋" w:hint="eastAsia"/>
          <w:szCs w:val="21"/>
        </w:rPr>
        <w:t>2018年湖南省考试录用公务员专业指导目录</w:t>
      </w:r>
      <w:r>
        <w:rPr>
          <w:rFonts w:ascii="仿宋_GB2312" w:eastAsia="仿宋_GB2312" w:hAnsi="仿宋" w:hint="eastAsia"/>
          <w:szCs w:val="21"/>
        </w:rPr>
        <w:t>》；3、</w:t>
      </w:r>
      <w:r w:rsidRPr="00233EE9">
        <w:rPr>
          <w:rFonts w:ascii="仿宋_GB2312" w:eastAsia="仿宋_GB2312" w:hAnsi="仿宋" w:hint="eastAsia"/>
          <w:szCs w:val="21"/>
        </w:rPr>
        <w:t>计划内统招正规全日制研究生在读期间（</w:t>
      </w:r>
      <w:proofErr w:type="gramStart"/>
      <w:r w:rsidRPr="00233EE9">
        <w:rPr>
          <w:rFonts w:ascii="仿宋_GB2312" w:eastAsia="仿宋_GB2312" w:hAnsi="仿宋" w:hint="eastAsia"/>
          <w:szCs w:val="21"/>
        </w:rPr>
        <w:t>含国外</w:t>
      </w:r>
      <w:proofErr w:type="gramEnd"/>
      <w:r w:rsidRPr="00233EE9">
        <w:rPr>
          <w:rFonts w:ascii="仿宋_GB2312" w:eastAsia="仿宋_GB2312" w:hAnsi="仿宋" w:hint="eastAsia"/>
          <w:szCs w:val="21"/>
        </w:rPr>
        <w:t>留学学习期间）不能视同为工作经历时间；岗位所要求的工作经历，时间截止到</w:t>
      </w:r>
      <w:r>
        <w:rPr>
          <w:rFonts w:ascii="仿宋_GB2312" w:eastAsia="仿宋_GB2312" w:hAnsi="仿宋" w:hint="eastAsia"/>
          <w:szCs w:val="21"/>
        </w:rPr>
        <w:t>2018年9月17日；4</w:t>
      </w:r>
      <w:r w:rsidRPr="00233EE9">
        <w:rPr>
          <w:rFonts w:ascii="仿宋_GB2312" w:eastAsia="仿宋_GB2312" w:hAnsi="仿宋" w:hint="eastAsia"/>
          <w:szCs w:val="21"/>
        </w:rPr>
        <w:t>、国外留学所取得的学历学位须经教育部认证后才可报名，国外留学所取得的学历学位经教育部认证后可视同为相同等级国内计划内统招正规全日制学历</w:t>
      </w:r>
      <w:r w:rsidRPr="00A4559F">
        <w:rPr>
          <w:rFonts w:ascii="仿宋_GB2312" w:eastAsia="仿宋_GB2312" w:hAnsi="仿宋" w:hint="eastAsia"/>
          <w:szCs w:val="21"/>
        </w:rPr>
        <w:t>。</w:t>
      </w:r>
    </w:p>
    <w:sectPr w:rsidR="00DD266D" w:rsidRPr="00502C2C">
      <w:pgSz w:w="16838" w:h="11906" w:orient="landscape"/>
      <w:pgMar w:top="1701" w:right="1701" w:bottom="1701" w:left="1701" w:header="851" w:footer="1375"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C2C"/>
    <w:rsid w:val="00502C2C"/>
    <w:rsid w:val="00DD2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2018-09-18T09:32:00Z</dcterms:created>
  <dcterms:modified xsi:type="dcterms:W3CDTF">2018-09-18T09:32:00Z</dcterms:modified>
</cp:coreProperties>
</file>