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岗位需求表</w:t>
      </w:r>
    </w:p>
    <w:bookmarkEnd w:id="0"/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48"/>
        <w:gridCol w:w="886"/>
        <w:gridCol w:w="1052"/>
        <w:gridCol w:w="288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招聘岗位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招聘数量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要求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专业要求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绿色城市及城市生态修复研究与技术咨询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城市规划、风景园林、建筑学等建筑领域相关专业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京内、京外生源均可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地下空间综合管廊技术研究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土木工程、岩土工程、隧道及地下建筑工程等建筑领域相关专业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房地产市场监测分析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房地产经济与管理等房地产相关专业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京内生源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1CB9"/>
    <w:rsid w:val="42A71C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2019-03-13T09:12:00Z</dcterms:created>
  <dc:creator>装机时修改</dc:creator>
  <cp:lastModifiedBy>装机时修改</cp:lastModifiedBy>
  <dcterms:modified xsi:type="dcterms:W3CDTF">2019-03-13T09:14:19Z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