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w w:val="80"/>
          <w:sz w:val="32"/>
          <w:szCs w:val="32"/>
          <w:highlight w:val="none"/>
          <w:lang w:eastAsia="zh-CN"/>
        </w:rPr>
        <w:t>附件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  <w:highlight w:val="none"/>
          <w:lang w:eastAsia="zh-CN"/>
        </w:rPr>
        <w:t>中共莆田市秀屿区委政法委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44"/>
          <w:szCs w:val="44"/>
          <w:highlight w:val="none"/>
        </w:rPr>
        <w:t>编外合同制工作人员报名表</w:t>
      </w:r>
      <w:bookmarkStart w:id="0" w:name="_GoBack"/>
      <w:bookmarkEnd w:id="0"/>
    </w:p>
    <w:tbl>
      <w:tblPr>
        <w:tblW w:w="9541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  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近期白底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彩色相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入党团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  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8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主要学习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工作简历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04"/>
        <w:gridCol w:w="1026"/>
        <w:gridCol w:w="1148"/>
        <w:gridCol w:w="860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计算机应用能力自我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  <w:t>评价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  <w:lang w:eastAsia="zh-CN"/>
              </w:rPr>
            </w:pP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况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姓  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称 谓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出 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年 月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备注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境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</w:rPr>
              <w:t>外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highlight w:val="none"/>
                <w:lang w:eastAsia="zh-CN"/>
              </w:rPr>
              <w:t>关系的等要说明情况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9460" w:type="dxa"/>
            <w:gridSpan w:val="6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eastAsia="zh-CN"/>
              </w:rPr>
              <w:t>真实性承诺：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本人以上信息真实可靠，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没有违反生育政策、受过刑事处罚或被开除公职，以及法律上有规定不得招聘录用的其他情形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0000FF"/>
                <w:sz w:val="24"/>
                <w:highlight w:val="none"/>
                <w:lang w:eastAsia="zh-CN"/>
              </w:rPr>
            </w:pPr>
          </w:p>
        </w:tc>
      </w:tr>
    </w:tbl>
    <w:p/>
    <w:sectPr>
      <w:pgSz w:w="11906" w:h="16838"/>
      <w:pgMar w:top="1440" w:right="1689" w:bottom="1440" w:left="1689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2018-08-15T01:56:00Z</dcterms:created>
  <dc:creator>Administrator</dc:creator>
  <cp:lastModifiedBy>Administrator</cp:lastModifiedBy>
  <dcterms:modified xsi:type="dcterms:W3CDTF">2019-05-21T08:02:12Z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