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</w:p>
    <w:tbl>
      <w:tblPr>
        <w:tblW w:w="8460" w:type="dxa"/>
        <w:tblInd w:w="88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897"/>
        <w:gridCol w:w="823"/>
        <w:gridCol w:w="1025"/>
        <w:gridCol w:w="1277"/>
        <w:gridCol w:w="1025"/>
        <w:gridCol w:w="90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bookmarkStart w:id="0" w:name="_GoBack"/>
            <w:r>
              <w:rPr>
                <w:bdr w:val="none" w:color="auto" w:sz="0" w:space="0"/>
              </w:rPr>
              <w:t>2019年钢城区事业单位公开招聘拟聘用人员名单(第二批）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准考证号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主管部门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报考单位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岗位性质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2019191830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李敏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钢城区民政局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钢城区慈善总会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综合管理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综合类(A)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2019201911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刘连江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钢城区人民政府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钢城区政务服务中心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行政审批2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综合类(A)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1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2019190509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朱厚振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钢城区里辛街道办事处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民生保障服务中心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综合管理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综合类(A)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13688"/>
    <w:rsid w:val="39913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2019-12-19T05:50:00Z</dcterms:created>
  <dc:creator>ASUS</dc:creator>
  <cp:lastModifiedBy>ASUS</cp:lastModifiedBy>
  <dcterms:modified xsi:type="dcterms:W3CDTF">2019-12-19T05:57:46Z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