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28282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944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116"/>
        <w:gridCol w:w="837"/>
        <w:gridCol w:w="1380"/>
        <w:gridCol w:w="1248"/>
        <w:gridCol w:w="1116"/>
        <w:gridCol w:w="1249"/>
        <w:gridCol w:w="12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用人部门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招聘范围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　学历要求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　资质要求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2828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　财务管理处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　财务管理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应届高校毕业生、社会在职人员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财务管理、会计学及相关专业</w:t>
            </w:r>
          </w:p>
        </w:tc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具有高级会计师或注册会计师资格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828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19"/>
                <w:szCs w:val="19"/>
                <w:bdr w:val="none" w:color="auto" w:sz="0" w:space="0"/>
              </w:rPr>
              <w:t>熟悉用友软件，5年以上工作经验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67AFF"/>
    <w:rsid w:val="47A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2021-06-12T02:32:00Z</dcterms:created>
  <dc:creator>ぺ灬cc果冻ル</dc:creator>
  <cp:lastModifiedBy>ぺ灬cc果冻ル</cp:lastModifiedBy>
  <dcterms:modified xsi:type="dcterms:W3CDTF">2021-06-12T02:32:17Z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