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20"/>
        <w:gridCol w:w="2040"/>
        <w:gridCol w:w="708"/>
        <w:gridCol w:w="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培养院校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培养岗位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培养专业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计划数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浙江师范大学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高中地理科学（复合思政教育）教师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地理科学（复合思想政治教育）（师范）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高考成绩须达到我省特殊类型招生控制线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杭州师范大学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ascii="仿宋" w:hAnsi="仿宋" w:eastAsia="仿宋" w:cs="仿宋"/>
                <w:b w:val="0"/>
                <w:color w:val="333333"/>
                <w:sz w:val="22"/>
                <w:szCs w:val="22"/>
              </w:rPr>
              <w:t>高中物理学（复合教育技术学）教师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22"/>
                <w:szCs w:val="22"/>
              </w:rPr>
              <w:t>物理学（复合教育技术学）（师范）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杭州师范大学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小学全科教师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小学教育（师范）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台州学院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小学全科教师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小学教育（师范）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湖州师范学院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小学全科教师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小学教育（师范）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温州大学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小学全科教师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小学教育（师范）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b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5F36"/>
    <w:rsid w:val="197C1BB2"/>
    <w:rsid w:val="639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2021-06-25T11:15:00Z</dcterms:created>
  <dc:creator>ぺ灬cc果冻ル</dc:creator>
  <cp:lastModifiedBy>ぺ灬cc果冻ル</cp:lastModifiedBy>
  <dcterms:modified xsi:type="dcterms:W3CDTF">2021-06-25T11:18:03Z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