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共青团</w:t>
      </w:r>
      <w:r>
        <w:rPr>
          <w:rFonts w:hint="eastAsia" w:ascii="方正小标宋简体" w:hAnsi="方正小标宋简体" w:eastAsia="方正小标宋简体"/>
          <w:sz w:val="36"/>
          <w:szCs w:val="32"/>
        </w:rPr>
        <w:t>佛山市南海区</w:t>
      </w: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公开招聘机关事业单位辅助工作人员职位表</w:t>
      </w:r>
    </w:p>
    <w:bookmarkEnd w:id="0"/>
    <w:tbl>
      <w:tblPr>
        <w:tblStyle w:val="7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55"/>
        <w:gridCol w:w="1740"/>
        <w:gridCol w:w="825"/>
        <w:gridCol w:w="720"/>
        <w:gridCol w:w="1389"/>
        <w:gridCol w:w="983"/>
        <w:gridCol w:w="733"/>
        <w:gridCol w:w="2650"/>
        <w:gridCol w:w="231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招聘单位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招聘职位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职位简介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招聘对象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招聘人数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年龄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学历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学位</w:t>
            </w:r>
          </w:p>
        </w:tc>
        <w:tc>
          <w:tcPr>
            <w:tcW w:w="26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本科专业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名称及代码</w:t>
            </w:r>
          </w:p>
        </w:tc>
        <w:tc>
          <w:tcPr>
            <w:tcW w:w="2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其他要求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年收入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共青团佛山市南海区委员会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办公室辅员</w:t>
            </w:r>
          </w:p>
        </w:tc>
        <w:tc>
          <w:tcPr>
            <w:tcW w:w="17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负责文书、党务、会计及青年发展工作。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应届毕业生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26周岁以下</w:t>
            </w:r>
          </w:p>
        </w:tc>
        <w:tc>
          <w:tcPr>
            <w:tcW w:w="98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本科</w:t>
            </w:r>
          </w:p>
        </w:tc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学士学位</w:t>
            </w:r>
          </w:p>
        </w:tc>
        <w:tc>
          <w:tcPr>
            <w:tcW w:w="26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法学（B03）、文学（B05）、管理学（B12）、工学（B08）、教育学（B04）、理学（B07）</w:t>
            </w:r>
          </w:p>
        </w:tc>
        <w:tc>
          <w:tcPr>
            <w:tcW w:w="231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满足以下其中一项即可：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①中共党员或预备党员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②曾获高校或地市（含）以上级别共青团内个人荣誉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③退役军人</w:t>
            </w:r>
          </w:p>
        </w:tc>
        <w:tc>
          <w:tcPr>
            <w:tcW w:w="10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9.3万元</w:t>
            </w:r>
          </w:p>
        </w:tc>
      </w:tr>
    </w:tbl>
    <w:p>
      <w:pPr>
        <w:pStyle w:val="8"/>
        <w:spacing w:line="360" w:lineRule="exact"/>
        <w:rPr>
          <w:rFonts w:hint="eastAsia" w:ascii="宋体" w:hAnsi="宋体"/>
          <w:b/>
          <w:bCs/>
          <w:color w:val="000000"/>
          <w:szCs w:val="32"/>
        </w:rPr>
      </w:pPr>
      <w:r>
        <w:rPr>
          <w:rFonts w:hint="eastAsia" w:ascii="宋体" w:hAnsi="宋体"/>
          <w:b/>
          <w:bCs/>
          <w:color w:val="auto"/>
          <w:szCs w:val="32"/>
        </w:rPr>
        <w:t>说明：1.年龄计算时间为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1994</w:t>
      </w:r>
      <w:r>
        <w:rPr>
          <w:rFonts w:hint="eastAsia" w:ascii="宋体" w:hAnsi="宋体"/>
          <w:b/>
          <w:bCs/>
          <w:color w:val="auto"/>
          <w:szCs w:val="32"/>
        </w:rPr>
        <w:t>年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7</w:t>
      </w:r>
      <w:r>
        <w:rPr>
          <w:rFonts w:hint="eastAsia" w:ascii="宋体" w:hAnsi="宋体"/>
          <w:b/>
          <w:bCs/>
          <w:color w:val="auto"/>
          <w:szCs w:val="32"/>
        </w:rPr>
        <w:t>月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Cs w:val="32"/>
        </w:rPr>
        <w:t>日后出生；2.学历学位须国家承认，国（境）外学历须提供学历认证；3.学科、专业代码及名称参照广东省考试录用公务员专业目录（</w:t>
      </w:r>
      <w:r>
        <w:rPr>
          <w:rFonts w:hint="eastAsia" w:ascii="宋体" w:hAnsi="宋体"/>
          <w:b/>
          <w:bCs/>
          <w:color w:val="auto"/>
          <w:szCs w:val="32"/>
          <w:lang w:val="en-US" w:eastAsia="zh-CN"/>
        </w:rPr>
        <w:t>2021</w:t>
      </w:r>
      <w:r>
        <w:rPr>
          <w:rFonts w:hint="eastAsia" w:ascii="宋体" w:hAnsi="宋体"/>
          <w:b/>
          <w:bCs/>
          <w:color w:val="auto"/>
          <w:szCs w:val="32"/>
        </w:rPr>
        <w:t>版）。4.符合应届毕业生报</w:t>
      </w:r>
      <w:r>
        <w:rPr>
          <w:rFonts w:hint="eastAsia" w:ascii="宋体" w:hAnsi="宋体"/>
          <w:b/>
          <w:bCs/>
          <w:color w:val="000000"/>
          <w:szCs w:val="32"/>
        </w:rPr>
        <w:t>名条件：当年的高校应届毕业生及择业期内的高校毕业生。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551E"/>
    <w:rsid w:val="43C95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qFormat/>
    <w:uiPriority w:val="0"/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2021-07-05T09:51:00Z</dcterms:created>
  <dc:creator>团区委收发文</dc:creator>
  <cp:lastModifiedBy>团区委收发文</cp:lastModifiedBy>
  <dcterms:modified xsi:type="dcterms:W3CDTF">2021-07-05T09:51:53Z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