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438" w:type="dxa"/>
        <w:jc w:val="center"/>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FFFFFF"/>
        <w:tblLayout w:type="autofit"/>
        <w:tblCellMar>
          <w:top w:w="0" w:type="dxa"/>
          <w:left w:w="0" w:type="dxa"/>
          <w:bottom w:w="0" w:type="dxa"/>
          <w:right w:w="0" w:type="dxa"/>
        </w:tblCellMar>
      </w:tblPr>
      <w:tblGrid>
        <w:gridCol w:w="2459"/>
        <w:gridCol w:w="1868"/>
        <w:gridCol w:w="2814"/>
        <w:gridCol w:w="5297"/>
      </w:tblGrid>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FFFFFF"/>
          <w:tblCellMar>
            <w:top w:w="0" w:type="dxa"/>
            <w:left w:w="0" w:type="dxa"/>
            <w:bottom w:w="0" w:type="dxa"/>
            <w:right w:w="0" w:type="dxa"/>
          </w:tblCellMar>
        </w:tblPrEx>
        <w:trPr>
          <w:trHeight w:val="456" w:hRule="atLeast"/>
          <w:jc w:val="center"/>
        </w:trPr>
        <w:tc>
          <w:tcPr>
            <w:tcW w:w="2459" w:type="dxa"/>
            <w:tcBorders>
              <w:top w:val="outset" w:color="333333" w:sz="6" w:space="0"/>
              <w:left w:val="outset" w:color="333333" w:sz="6" w:space="0"/>
              <w:bottom w:val="outset" w:color="333333" w:sz="6" w:space="0"/>
              <w:right w:val="outset" w:color="333333"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r>
              <w:rPr>
                <w:rFonts w:hint="eastAsia" w:ascii="宋体" w:hAnsi="宋体" w:eastAsia="宋体" w:cs="宋体"/>
                <w:i w:val="0"/>
                <w:iCs w:val="0"/>
                <w:caps w:val="0"/>
                <w:color w:val="333333"/>
                <w:spacing w:val="0"/>
                <w:kern w:val="0"/>
                <w:sz w:val="24"/>
                <w:szCs w:val="24"/>
                <w:bdr w:val="none" w:color="auto" w:sz="0" w:space="0"/>
                <w:lang w:val="en-US" w:eastAsia="zh-CN" w:bidi="ar"/>
              </w:rPr>
              <w:t>单位名称</w:t>
            </w:r>
          </w:p>
        </w:tc>
        <w:tc>
          <w:tcPr>
            <w:tcW w:w="18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单位性质</w:t>
            </w:r>
          </w:p>
        </w:tc>
        <w:tc>
          <w:tcPr>
            <w:tcW w:w="2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单位地址</w:t>
            </w:r>
          </w:p>
        </w:tc>
        <w:tc>
          <w:tcPr>
            <w:tcW w:w="5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主要职能</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shd w:val="clear" w:color="auto" w:fill="FFFFFF"/>
          <w:tblCellMar>
            <w:top w:w="0" w:type="dxa"/>
            <w:left w:w="0" w:type="dxa"/>
            <w:bottom w:w="0" w:type="dxa"/>
            <w:right w:w="0" w:type="dxa"/>
          </w:tblCellMar>
        </w:tblPrEx>
        <w:trPr>
          <w:trHeight w:val="5636" w:hRule="atLeast"/>
          <w:jc w:val="center"/>
        </w:trPr>
        <w:tc>
          <w:tcPr>
            <w:tcW w:w="245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绵阳市农业科学研究院</w:t>
            </w:r>
          </w:p>
        </w:tc>
        <w:tc>
          <w:tcPr>
            <w:tcW w:w="18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事业单位</w:t>
            </w:r>
          </w:p>
        </w:tc>
        <w:tc>
          <w:tcPr>
            <w:tcW w:w="28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绵阳市游仙区松垭镇松江路8号</w:t>
            </w:r>
          </w:p>
        </w:tc>
        <w:tc>
          <w:tcPr>
            <w:tcW w:w="5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6"/>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绵阳市农业科学研究院是目前绵阳市唯一从事农业科技相关的新品种新技术研究与推广的公益性农业科研事业单位。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我院建有小麦、水稻、油菜、玉米、薯类、蔬菜、畜牧、中药材新品种新材料选育、生物技术、作物栽培、土肥、植保、推广应用等15个研究方向，其中杂交小麦、全香型优质杂交水稻、高芥酸油菜研究处于全国领先水平。常年承担国家863、948、育种攻关、科技成果转化等科研项目60余项。是国家小麦改良分中心，国家小麦、水稻、油菜原原种基地，国家现代农业产业技术体系、国家区试站、国家基层农技推广体系改革与建设培训基地等重要建设单位。拥有国家科研基地1个，国家中试基地5个，国家综合试验站5个，四川省中试基地1个，四川省创新、培训基地2个，“十五”、“十一五”期间，我院两度被评为全国农业科研单位综合科研能力“百强研究所”，位居全国600余家市州级农科院所第七位。</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644B4"/>
    <w:rsid w:val="0A3F22C7"/>
    <w:rsid w:val="54742D17"/>
    <w:rsid w:val="68F6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2021-07-14T01:17:00Z</dcterms:created>
  <dc:creator>猪笨笨@</dc:creator>
  <cp:lastModifiedBy>猪笨笨@</cp:lastModifiedBy>
  <dcterms:modified xsi:type="dcterms:W3CDTF">2021-07-14T01:19:56Z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50D4073BB3C440F489CDA1C3789251E2</vt:lpwstr>
  </property>
</Properties>
</file>