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20" w:lineRule="exact"/>
        <w:jc w:val="left"/>
        <w:rPr>
          <w:rFonts w:cs="黑体" w:asciiTheme="minorEastAsia" w:hAnsiTheme="majorEastAsia" w:eastAsiaTheme="minorEastAsia"/>
          <w:bCs/>
          <w:sz w:val="28"/>
          <w:szCs w:val="28"/>
        </w:rPr>
      </w:pPr>
      <w:r>
        <w:rPr>
          <w:rFonts w:hint="eastAsia" w:cs="黑体" w:asciiTheme="minorEastAsia" w:hAnsiTheme="majorEastAsia" w:eastAsiaTheme="minorEastAsia"/>
          <w:bCs/>
          <w:sz w:val="28"/>
          <w:szCs w:val="28"/>
        </w:rPr>
        <w:t>附件1：</w:t>
      </w:r>
    </w:p>
    <w:p>
      <w:pPr>
        <w:widowControl/>
        <w:shd w:val="clear" w:color="auto" w:fill="FFFFFF"/>
        <w:adjustRightInd w:val="0"/>
        <w:snapToGrid w:val="0"/>
        <w:spacing w:line="520" w:lineRule="exact"/>
        <w:jc w:val="center"/>
        <w:rPr>
          <w:rFonts w:ascii="方正小标宋简体" w:eastAsia="方正小标宋简体" w:cs="黑体" w:hAnsiTheme="majorEastAsia"/>
          <w:bCs/>
          <w:sz w:val="32"/>
          <w:szCs w:val="32"/>
        </w:rPr>
      </w:pPr>
      <w:bookmarkStart w:id="0" w:name="_GoBack"/>
      <w:r>
        <w:rPr>
          <w:rFonts w:hint="eastAsia" w:ascii="方正小标宋简体" w:eastAsia="方正小标宋简体" w:cs="黑体" w:hAnsiTheme="majorEastAsia"/>
          <w:bCs/>
          <w:sz w:val="32"/>
          <w:szCs w:val="32"/>
        </w:rPr>
        <w:t>2021年绍兴市发展和改革委员会下属事业单位公开招聘应届毕业硕士研究生计划表</w:t>
      </w:r>
      <w:bookmarkEnd w:id="0"/>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943"/>
        <w:gridCol w:w="1943"/>
        <w:gridCol w:w="554"/>
        <w:gridCol w:w="6809"/>
        <w:gridCol w:w="124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94"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序号</w:t>
            </w:r>
          </w:p>
        </w:tc>
        <w:tc>
          <w:tcPr>
            <w:tcW w:w="686"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招聘单位</w:t>
            </w:r>
          </w:p>
        </w:tc>
        <w:tc>
          <w:tcPr>
            <w:tcW w:w="686"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招聘岗位</w:t>
            </w:r>
          </w:p>
        </w:tc>
        <w:tc>
          <w:tcPr>
            <w:tcW w:w="196"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人数</w:t>
            </w:r>
          </w:p>
        </w:tc>
        <w:tc>
          <w:tcPr>
            <w:tcW w:w="2402"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专业要求</w:t>
            </w:r>
          </w:p>
        </w:tc>
        <w:tc>
          <w:tcPr>
            <w:tcW w:w="441"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学历/学位</w:t>
            </w:r>
          </w:p>
        </w:tc>
        <w:tc>
          <w:tcPr>
            <w:tcW w:w="294" w:type="pct"/>
            <w:vAlign w:val="center"/>
          </w:tcPr>
          <w:p>
            <w:pPr>
              <w:widowControl/>
              <w:jc w:val="center"/>
              <w:outlineLvl w:val="0"/>
              <w:rPr>
                <w:rFonts w:ascii="黑体" w:hAnsi="宋体" w:eastAsia="黑体" w:cs="宋体"/>
                <w:b/>
                <w:kern w:val="0"/>
                <w:sz w:val="28"/>
                <w:szCs w:val="28"/>
              </w:rPr>
            </w:pPr>
            <w:r>
              <w:rPr>
                <w:rFonts w:hint="eastAsia" w:ascii="黑体" w:hAnsi="宋体" w:eastAsia="黑体" w:cs="宋体"/>
                <w:b/>
                <w:kern w:val="0"/>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94" w:type="pct"/>
            <w:vAlign w:val="center"/>
          </w:tcPr>
          <w:p>
            <w:pPr>
              <w:widowControl/>
              <w:outlineLvl w:val="0"/>
              <w:rPr>
                <w:rFonts w:ascii="宋体" w:hAnsi="宋体" w:cs="宋体"/>
                <w:kern w:val="0"/>
                <w:szCs w:val="21"/>
              </w:rPr>
            </w:pPr>
            <w:r>
              <w:rPr>
                <w:rFonts w:hint="eastAsia" w:ascii="宋体" w:hAnsi="宋体" w:cs="宋体"/>
                <w:kern w:val="0"/>
                <w:szCs w:val="21"/>
              </w:rPr>
              <w:t>1</w:t>
            </w:r>
          </w:p>
        </w:tc>
        <w:tc>
          <w:tcPr>
            <w:tcW w:w="686" w:type="pct"/>
            <w:vAlign w:val="center"/>
          </w:tcPr>
          <w:p>
            <w:pPr>
              <w:widowControl/>
              <w:outlineLvl w:val="0"/>
              <w:rPr>
                <w:rFonts w:ascii="宋体" w:hAnsi="宋体" w:cs="宋体"/>
                <w:kern w:val="0"/>
                <w:szCs w:val="21"/>
              </w:rPr>
            </w:pPr>
            <w:r>
              <w:rPr>
                <w:rFonts w:hint="eastAsia" w:ascii="宋体" w:hAnsi="宋体" w:cs="宋体"/>
                <w:kern w:val="0"/>
                <w:szCs w:val="21"/>
              </w:rPr>
              <w:t>绍兴市铁路建设服务中心</w:t>
            </w:r>
          </w:p>
        </w:tc>
        <w:tc>
          <w:tcPr>
            <w:tcW w:w="686" w:type="pct"/>
            <w:vAlign w:val="center"/>
          </w:tcPr>
          <w:p>
            <w:pPr>
              <w:widowControl/>
              <w:outlineLvl w:val="0"/>
              <w:rPr>
                <w:rFonts w:ascii="宋体" w:hAnsi="宋体" w:cs="宋体"/>
                <w:kern w:val="0"/>
                <w:szCs w:val="21"/>
              </w:rPr>
            </w:pPr>
            <w:r>
              <w:rPr>
                <w:rFonts w:hint="eastAsia" w:ascii="宋体" w:hAnsi="宋体" w:cs="仿宋"/>
                <w:kern w:val="0"/>
                <w:szCs w:val="21"/>
              </w:rPr>
              <w:t>数字信息技术</w:t>
            </w:r>
          </w:p>
        </w:tc>
        <w:tc>
          <w:tcPr>
            <w:tcW w:w="196" w:type="pct"/>
            <w:vAlign w:val="center"/>
          </w:tcPr>
          <w:p>
            <w:pPr>
              <w:widowControl/>
              <w:outlineLvl w:val="0"/>
              <w:rPr>
                <w:rFonts w:ascii="宋体" w:hAnsi="宋体" w:cs="宋体"/>
                <w:kern w:val="0"/>
                <w:szCs w:val="21"/>
              </w:rPr>
            </w:pPr>
            <w:r>
              <w:rPr>
                <w:rFonts w:hint="eastAsia" w:ascii="宋体" w:hAnsi="宋体" w:cs="宋体"/>
                <w:kern w:val="0"/>
                <w:szCs w:val="21"/>
              </w:rPr>
              <w:t>1</w:t>
            </w:r>
          </w:p>
        </w:tc>
        <w:tc>
          <w:tcPr>
            <w:tcW w:w="2402" w:type="pct"/>
            <w:vAlign w:val="center"/>
          </w:tcPr>
          <w:p>
            <w:pPr>
              <w:widowControl/>
              <w:rPr>
                <w:rFonts w:ascii="宋体" w:hAnsi="宋体" w:cs="仿宋"/>
                <w:kern w:val="0"/>
                <w:szCs w:val="21"/>
              </w:rPr>
            </w:pPr>
            <w:r>
              <w:rPr>
                <w:rFonts w:hint="eastAsia" w:ascii="宋体" w:hAnsi="宋体" w:cs="仿宋"/>
                <w:kern w:val="0"/>
                <w:szCs w:val="21"/>
              </w:rPr>
              <w:t>信息与通信工程类、计算机科学与技术类、软件工程类</w:t>
            </w:r>
          </w:p>
        </w:tc>
        <w:tc>
          <w:tcPr>
            <w:tcW w:w="441" w:type="pct"/>
            <w:vMerge w:val="restart"/>
            <w:vAlign w:val="center"/>
          </w:tcPr>
          <w:p>
            <w:pPr>
              <w:widowControl/>
              <w:rPr>
                <w:rFonts w:ascii="宋体" w:hAnsi="宋体" w:cs="仿宋"/>
                <w:kern w:val="0"/>
                <w:szCs w:val="21"/>
              </w:rPr>
            </w:pPr>
            <w:r>
              <w:rPr>
                <w:rFonts w:hint="eastAsia" w:ascii="宋体" w:hAnsi="宋体" w:cs="仿宋"/>
                <w:kern w:val="0"/>
                <w:szCs w:val="21"/>
              </w:rPr>
              <w:t>研究生/硕士</w:t>
            </w:r>
          </w:p>
        </w:tc>
        <w:tc>
          <w:tcPr>
            <w:tcW w:w="294" w:type="pct"/>
            <w:vMerge w:val="restart"/>
            <w:vAlign w:val="center"/>
          </w:tcPr>
          <w:p>
            <w:pPr>
              <w:widowControl/>
              <w:rPr>
                <w:rFonts w:ascii="宋体" w:hAnsi="宋体" w:cs="仿宋"/>
                <w:kern w:val="0"/>
                <w:szCs w:val="21"/>
              </w:rPr>
            </w:pPr>
            <w:r>
              <w:rPr>
                <w:rFonts w:hint="eastAsia" w:ascii="宋体" w:hAnsi="宋体" w:cs="仿宋"/>
                <w:kern w:val="0"/>
                <w:szCs w:val="21"/>
              </w:rPr>
              <w:t>国（境）内外高校2021届毕业生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94" w:type="pct"/>
            <w:vMerge w:val="restart"/>
            <w:vAlign w:val="center"/>
          </w:tcPr>
          <w:p>
            <w:pPr>
              <w:widowControl/>
              <w:outlineLvl w:val="0"/>
              <w:rPr>
                <w:rFonts w:ascii="宋体" w:hAnsi="宋体" w:cs="宋体"/>
                <w:kern w:val="0"/>
                <w:szCs w:val="21"/>
              </w:rPr>
            </w:pPr>
            <w:r>
              <w:rPr>
                <w:rFonts w:hint="eastAsia" w:ascii="宋体" w:hAnsi="宋体" w:cs="宋体"/>
                <w:kern w:val="0"/>
                <w:szCs w:val="21"/>
              </w:rPr>
              <w:t>2</w:t>
            </w:r>
          </w:p>
        </w:tc>
        <w:tc>
          <w:tcPr>
            <w:tcW w:w="686" w:type="pct"/>
            <w:vMerge w:val="restart"/>
            <w:vAlign w:val="center"/>
          </w:tcPr>
          <w:p>
            <w:pPr>
              <w:widowControl/>
              <w:outlineLvl w:val="0"/>
              <w:rPr>
                <w:rFonts w:ascii="宋体" w:hAnsi="宋体" w:cs="仿宋"/>
                <w:kern w:val="0"/>
                <w:szCs w:val="21"/>
              </w:rPr>
            </w:pPr>
            <w:r>
              <w:rPr>
                <w:rFonts w:hint="eastAsia" w:ascii="宋体" w:hAnsi="宋体" w:cs="仿宋"/>
                <w:kern w:val="0"/>
                <w:szCs w:val="21"/>
              </w:rPr>
              <w:t>绍兴市发展规划研究院</w:t>
            </w:r>
          </w:p>
        </w:tc>
        <w:tc>
          <w:tcPr>
            <w:tcW w:w="686" w:type="pct"/>
            <w:vAlign w:val="center"/>
          </w:tcPr>
          <w:p>
            <w:pPr>
              <w:widowControl/>
              <w:outlineLvl w:val="0"/>
              <w:rPr>
                <w:rFonts w:ascii="宋体" w:hAnsi="宋体" w:cs="仿宋"/>
                <w:kern w:val="0"/>
                <w:szCs w:val="21"/>
              </w:rPr>
            </w:pPr>
            <w:r>
              <w:rPr>
                <w:rFonts w:hint="eastAsia" w:ascii="宋体" w:hAnsi="宋体" w:cs="仿宋"/>
                <w:kern w:val="0"/>
                <w:szCs w:val="21"/>
              </w:rPr>
              <w:t>规划研究与分析</w:t>
            </w:r>
          </w:p>
        </w:tc>
        <w:tc>
          <w:tcPr>
            <w:tcW w:w="196" w:type="pct"/>
            <w:vAlign w:val="center"/>
          </w:tcPr>
          <w:p>
            <w:pPr>
              <w:widowControl/>
              <w:outlineLvl w:val="0"/>
              <w:rPr>
                <w:rFonts w:ascii="宋体" w:hAnsi="宋体" w:cs="仿宋"/>
                <w:kern w:val="0"/>
                <w:szCs w:val="21"/>
              </w:rPr>
            </w:pPr>
            <w:r>
              <w:rPr>
                <w:rFonts w:hint="eastAsia" w:ascii="宋体" w:hAnsi="宋体" w:cs="仿宋"/>
                <w:kern w:val="0"/>
                <w:szCs w:val="21"/>
              </w:rPr>
              <w:t>1</w:t>
            </w:r>
          </w:p>
        </w:tc>
        <w:tc>
          <w:tcPr>
            <w:tcW w:w="2402" w:type="pct"/>
            <w:vAlign w:val="center"/>
          </w:tcPr>
          <w:p>
            <w:pPr>
              <w:outlineLvl w:val="0"/>
              <w:rPr>
                <w:rFonts w:ascii="宋体" w:hAnsi="宋体" w:cs="仿宋"/>
                <w:kern w:val="0"/>
                <w:szCs w:val="21"/>
              </w:rPr>
            </w:pPr>
            <w:r>
              <w:rPr>
                <w:rFonts w:hint="eastAsia" w:ascii="宋体" w:hAnsi="宋体" w:cs="仿宋"/>
                <w:kern w:val="0"/>
                <w:szCs w:val="21"/>
              </w:rPr>
              <w:t>交通运输规划与管理、环境规划与管理、资源环境与区域规划、生态环境与城乡规划、城市与区域规划（建筑学类）、城市规划与设计、城市规划、城市设计及其理论</w:t>
            </w:r>
          </w:p>
        </w:tc>
        <w:tc>
          <w:tcPr>
            <w:tcW w:w="441" w:type="pct"/>
            <w:vMerge w:val="continue"/>
            <w:vAlign w:val="center"/>
          </w:tcPr>
          <w:p>
            <w:pPr>
              <w:outlineLvl w:val="0"/>
              <w:rPr>
                <w:rFonts w:ascii="宋体" w:hAnsi="宋体" w:cs="仿宋"/>
                <w:kern w:val="0"/>
                <w:szCs w:val="21"/>
              </w:rPr>
            </w:pPr>
          </w:p>
        </w:tc>
        <w:tc>
          <w:tcPr>
            <w:tcW w:w="294" w:type="pct"/>
            <w:vMerge w:val="continue"/>
            <w:vAlign w:val="center"/>
          </w:tcPr>
          <w:p>
            <w:pPr>
              <w:outlineLvl w:val="0"/>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94" w:type="pct"/>
            <w:vMerge w:val="continue"/>
            <w:vAlign w:val="center"/>
          </w:tcPr>
          <w:p>
            <w:pPr>
              <w:widowControl/>
              <w:outlineLvl w:val="0"/>
              <w:rPr>
                <w:rFonts w:ascii="宋体" w:hAnsi="宋体" w:cs="宋体"/>
                <w:kern w:val="0"/>
                <w:szCs w:val="21"/>
              </w:rPr>
            </w:pPr>
          </w:p>
        </w:tc>
        <w:tc>
          <w:tcPr>
            <w:tcW w:w="686" w:type="pct"/>
            <w:vMerge w:val="continue"/>
            <w:vAlign w:val="center"/>
          </w:tcPr>
          <w:p>
            <w:pPr>
              <w:widowControl/>
              <w:outlineLvl w:val="0"/>
              <w:rPr>
                <w:rFonts w:ascii="宋体" w:hAnsi="宋体" w:cs="仿宋"/>
                <w:kern w:val="0"/>
                <w:szCs w:val="21"/>
              </w:rPr>
            </w:pPr>
          </w:p>
        </w:tc>
        <w:tc>
          <w:tcPr>
            <w:tcW w:w="686" w:type="pct"/>
            <w:vAlign w:val="center"/>
          </w:tcPr>
          <w:p>
            <w:pPr>
              <w:outlineLvl w:val="0"/>
              <w:rPr>
                <w:rFonts w:ascii="宋体" w:hAnsi="宋体" w:cs="仿宋"/>
                <w:kern w:val="0"/>
                <w:szCs w:val="21"/>
              </w:rPr>
            </w:pPr>
            <w:r>
              <w:rPr>
                <w:rFonts w:hint="eastAsia" w:ascii="宋体" w:hAnsi="宋体" w:cs="仿宋"/>
                <w:kern w:val="0"/>
                <w:szCs w:val="21"/>
              </w:rPr>
              <w:t>中长期规划研究与分析</w:t>
            </w:r>
          </w:p>
        </w:tc>
        <w:tc>
          <w:tcPr>
            <w:tcW w:w="196" w:type="pct"/>
            <w:vAlign w:val="center"/>
          </w:tcPr>
          <w:p>
            <w:pPr>
              <w:outlineLvl w:val="0"/>
              <w:rPr>
                <w:rFonts w:ascii="宋体" w:hAnsi="宋体" w:cs="仿宋"/>
                <w:kern w:val="0"/>
                <w:szCs w:val="21"/>
              </w:rPr>
            </w:pPr>
            <w:r>
              <w:rPr>
                <w:rFonts w:hint="eastAsia" w:ascii="宋体" w:hAnsi="宋体" w:cs="仿宋"/>
                <w:kern w:val="0"/>
                <w:szCs w:val="21"/>
              </w:rPr>
              <w:t>1</w:t>
            </w:r>
          </w:p>
        </w:tc>
        <w:tc>
          <w:tcPr>
            <w:tcW w:w="2402" w:type="pct"/>
            <w:vAlign w:val="center"/>
          </w:tcPr>
          <w:p>
            <w:pPr>
              <w:outlineLvl w:val="0"/>
              <w:rPr>
                <w:rFonts w:ascii="宋体" w:hAnsi="宋体" w:cs="仿宋"/>
                <w:kern w:val="0"/>
                <w:szCs w:val="21"/>
              </w:rPr>
            </w:pPr>
            <w:r>
              <w:rPr>
                <w:rFonts w:hint="eastAsia" w:ascii="宋体" w:hAnsi="宋体" w:cs="仿宋"/>
                <w:kern w:val="0"/>
                <w:szCs w:val="21"/>
              </w:rPr>
              <w:t>城市规划与管理、城乡发展与规划、城乡规划学、城市与区域规划（地理学类）</w:t>
            </w:r>
          </w:p>
        </w:tc>
        <w:tc>
          <w:tcPr>
            <w:tcW w:w="441" w:type="pct"/>
            <w:vMerge w:val="continue"/>
            <w:vAlign w:val="center"/>
          </w:tcPr>
          <w:p>
            <w:pPr>
              <w:outlineLvl w:val="0"/>
              <w:rPr>
                <w:rFonts w:ascii="宋体" w:hAnsi="宋体" w:cs="仿宋"/>
                <w:kern w:val="0"/>
                <w:szCs w:val="21"/>
              </w:rPr>
            </w:pPr>
          </w:p>
        </w:tc>
        <w:tc>
          <w:tcPr>
            <w:tcW w:w="294" w:type="pct"/>
            <w:vMerge w:val="continue"/>
            <w:vAlign w:val="center"/>
          </w:tcPr>
          <w:p>
            <w:pPr>
              <w:outlineLvl w:val="0"/>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4" w:type="pct"/>
            <w:vAlign w:val="center"/>
          </w:tcPr>
          <w:p>
            <w:pPr>
              <w:widowControl/>
              <w:outlineLvl w:val="0"/>
              <w:rPr>
                <w:rFonts w:ascii="宋体" w:hAnsi="宋体" w:cs="宋体"/>
                <w:kern w:val="0"/>
                <w:szCs w:val="21"/>
              </w:rPr>
            </w:pPr>
            <w:r>
              <w:rPr>
                <w:rFonts w:hint="eastAsia" w:ascii="宋体" w:hAnsi="宋体" w:cs="宋体"/>
                <w:kern w:val="0"/>
                <w:szCs w:val="21"/>
              </w:rPr>
              <w:t xml:space="preserve">3 </w:t>
            </w:r>
          </w:p>
        </w:tc>
        <w:tc>
          <w:tcPr>
            <w:tcW w:w="686" w:type="pct"/>
            <w:vMerge w:val="continue"/>
            <w:vAlign w:val="center"/>
          </w:tcPr>
          <w:p>
            <w:pPr>
              <w:widowControl/>
              <w:outlineLvl w:val="0"/>
              <w:rPr>
                <w:rFonts w:ascii="宋体" w:hAnsi="宋体" w:cs="仿宋"/>
                <w:kern w:val="0"/>
                <w:szCs w:val="21"/>
              </w:rPr>
            </w:pPr>
          </w:p>
        </w:tc>
        <w:tc>
          <w:tcPr>
            <w:tcW w:w="686" w:type="pct"/>
            <w:vAlign w:val="center"/>
          </w:tcPr>
          <w:p>
            <w:pPr>
              <w:widowControl/>
              <w:outlineLvl w:val="0"/>
              <w:rPr>
                <w:rFonts w:ascii="宋体" w:hAnsi="宋体" w:cs="仿宋"/>
                <w:kern w:val="0"/>
                <w:szCs w:val="21"/>
              </w:rPr>
            </w:pPr>
            <w:r>
              <w:rPr>
                <w:rFonts w:hint="eastAsia" w:ascii="宋体" w:hAnsi="宋体" w:cs="宋体"/>
                <w:kern w:val="0"/>
                <w:szCs w:val="21"/>
              </w:rPr>
              <w:t>经济政策法规</w:t>
            </w:r>
          </w:p>
        </w:tc>
        <w:tc>
          <w:tcPr>
            <w:tcW w:w="196" w:type="pct"/>
            <w:vAlign w:val="center"/>
          </w:tcPr>
          <w:p>
            <w:pPr>
              <w:widowControl/>
              <w:outlineLvl w:val="0"/>
              <w:rPr>
                <w:rFonts w:ascii="仿宋_GB2312" w:hAnsi="仿宋" w:eastAsia="仿宋_GB2312" w:cs="仿宋"/>
                <w:kern w:val="0"/>
                <w:szCs w:val="21"/>
              </w:rPr>
            </w:pPr>
            <w:r>
              <w:rPr>
                <w:rFonts w:hint="eastAsia" w:ascii="仿宋_GB2312" w:hAnsi="仿宋" w:eastAsia="仿宋_GB2312" w:cs="仿宋"/>
                <w:kern w:val="0"/>
                <w:szCs w:val="21"/>
              </w:rPr>
              <w:t>1</w:t>
            </w:r>
          </w:p>
        </w:tc>
        <w:tc>
          <w:tcPr>
            <w:tcW w:w="2402" w:type="pct"/>
            <w:vAlign w:val="center"/>
          </w:tcPr>
          <w:p>
            <w:pPr>
              <w:widowControl/>
              <w:outlineLvl w:val="0"/>
              <w:rPr>
                <w:rFonts w:ascii="宋体" w:hAnsi="宋体" w:cs="仿宋"/>
                <w:kern w:val="0"/>
                <w:szCs w:val="21"/>
              </w:rPr>
            </w:pPr>
            <w:r>
              <w:rPr>
                <w:rFonts w:hint="eastAsia" w:ascii="宋体" w:hAnsi="宋体" w:cs="仿宋"/>
                <w:kern w:val="0"/>
                <w:szCs w:val="21"/>
              </w:rPr>
              <w:t>经济法学、金融法学、国际经济法、民商法学、商法</w:t>
            </w:r>
          </w:p>
        </w:tc>
        <w:tc>
          <w:tcPr>
            <w:tcW w:w="441" w:type="pct"/>
            <w:vMerge w:val="continue"/>
            <w:vAlign w:val="center"/>
          </w:tcPr>
          <w:p>
            <w:pPr>
              <w:widowControl/>
              <w:outlineLvl w:val="0"/>
              <w:rPr>
                <w:rFonts w:ascii="宋体" w:hAnsi="宋体" w:cs="仿宋"/>
                <w:kern w:val="0"/>
                <w:szCs w:val="21"/>
              </w:rPr>
            </w:pPr>
          </w:p>
        </w:tc>
        <w:tc>
          <w:tcPr>
            <w:tcW w:w="294" w:type="pct"/>
            <w:vMerge w:val="continue"/>
            <w:vAlign w:val="center"/>
          </w:tcPr>
          <w:p>
            <w:pPr>
              <w:widowControl/>
              <w:outlineLvl w:val="0"/>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94" w:type="pct"/>
            <w:vAlign w:val="center"/>
          </w:tcPr>
          <w:p>
            <w:pPr>
              <w:widowControl/>
              <w:outlineLvl w:val="0"/>
              <w:rPr>
                <w:rFonts w:ascii="宋体" w:hAnsi="宋体" w:cs="仿宋"/>
                <w:kern w:val="0"/>
                <w:szCs w:val="21"/>
              </w:rPr>
            </w:pPr>
            <w:r>
              <w:rPr>
                <w:rFonts w:hint="eastAsia" w:ascii="宋体" w:hAnsi="宋体" w:cs="仿宋"/>
                <w:kern w:val="0"/>
                <w:szCs w:val="21"/>
              </w:rPr>
              <w:t>4</w:t>
            </w:r>
          </w:p>
        </w:tc>
        <w:tc>
          <w:tcPr>
            <w:tcW w:w="686" w:type="pct"/>
            <w:vMerge w:val="continue"/>
            <w:vAlign w:val="center"/>
          </w:tcPr>
          <w:p>
            <w:pPr>
              <w:widowControl/>
              <w:outlineLvl w:val="0"/>
              <w:rPr>
                <w:rFonts w:ascii="宋体" w:hAnsi="宋体" w:cs="仿宋"/>
                <w:kern w:val="0"/>
                <w:szCs w:val="21"/>
              </w:rPr>
            </w:pPr>
          </w:p>
        </w:tc>
        <w:tc>
          <w:tcPr>
            <w:tcW w:w="686" w:type="pct"/>
            <w:vAlign w:val="center"/>
          </w:tcPr>
          <w:p>
            <w:pPr>
              <w:widowControl/>
              <w:outlineLvl w:val="0"/>
              <w:rPr>
                <w:rFonts w:ascii="宋体" w:hAnsi="宋体" w:cs="仿宋"/>
                <w:kern w:val="0"/>
                <w:szCs w:val="21"/>
              </w:rPr>
            </w:pPr>
            <w:r>
              <w:rPr>
                <w:rFonts w:hint="eastAsia" w:ascii="宋体" w:hAnsi="宋体" w:cs="仿宋"/>
                <w:kern w:val="0"/>
                <w:szCs w:val="21"/>
              </w:rPr>
              <w:t>法律事务</w:t>
            </w:r>
          </w:p>
        </w:tc>
        <w:tc>
          <w:tcPr>
            <w:tcW w:w="196" w:type="pct"/>
            <w:vAlign w:val="center"/>
          </w:tcPr>
          <w:p>
            <w:pPr>
              <w:outlineLvl w:val="0"/>
              <w:rPr>
                <w:rFonts w:ascii="宋体" w:hAnsi="宋体" w:cs="仿宋"/>
                <w:kern w:val="0"/>
                <w:szCs w:val="21"/>
              </w:rPr>
            </w:pPr>
            <w:r>
              <w:rPr>
                <w:rFonts w:hint="eastAsia" w:ascii="宋体" w:hAnsi="宋体" w:cs="仿宋"/>
                <w:kern w:val="0"/>
                <w:szCs w:val="21"/>
              </w:rPr>
              <w:t>1</w:t>
            </w:r>
          </w:p>
        </w:tc>
        <w:tc>
          <w:tcPr>
            <w:tcW w:w="2402" w:type="pct"/>
            <w:vAlign w:val="center"/>
          </w:tcPr>
          <w:p>
            <w:pPr>
              <w:outlineLvl w:val="0"/>
              <w:rPr>
                <w:rFonts w:ascii="宋体" w:hAnsi="宋体" w:cs="仿宋"/>
                <w:kern w:val="0"/>
                <w:szCs w:val="21"/>
              </w:rPr>
            </w:pPr>
            <w:r>
              <w:rPr>
                <w:rFonts w:hint="eastAsia" w:ascii="宋体" w:hAnsi="宋体" w:cs="仿宋"/>
                <w:kern w:val="0"/>
                <w:szCs w:val="21"/>
              </w:rPr>
              <w:t>法学、法律、法律（法学）、法律（非法学）、宪法学与行政法学、立法学</w:t>
            </w:r>
          </w:p>
        </w:tc>
        <w:tc>
          <w:tcPr>
            <w:tcW w:w="441" w:type="pct"/>
            <w:vMerge w:val="continue"/>
            <w:vAlign w:val="center"/>
          </w:tcPr>
          <w:p>
            <w:pPr>
              <w:outlineLvl w:val="0"/>
              <w:rPr>
                <w:rFonts w:ascii="宋体" w:hAnsi="宋体" w:cs="仿宋"/>
                <w:kern w:val="0"/>
                <w:szCs w:val="21"/>
              </w:rPr>
            </w:pPr>
          </w:p>
        </w:tc>
        <w:tc>
          <w:tcPr>
            <w:tcW w:w="294" w:type="pct"/>
            <w:vMerge w:val="continue"/>
            <w:vAlign w:val="center"/>
          </w:tcPr>
          <w:p>
            <w:pPr>
              <w:outlineLvl w:val="0"/>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94" w:type="pct"/>
            <w:vAlign w:val="center"/>
          </w:tcPr>
          <w:p>
            <w:pPr>
              <w:widowControl/>
              <w:outlineLvl w:val="0"/>
              <w:rPr>
                <w:rFonts w:ascii="宋体" w:hAnsi="宋体" w:cs="仿宋"/>
                <w:kern w:val="0"/>
                <w:szCs w:val="21"/>
              </w:rPr>
            </w:pPr>
            <w:r>
              <w:rPr>
                <w:rFonts w:hint="eastAsia" w:ascii="宋体" w:hAnsi="宋体" w:cs="仿宋"/>
                <w:kern w:val="0"/>
                <w:szCs w:val="21"/>
              </w:rPr>
              <w:t>5</w:t>
            </w:r>
          </w:p>
        </w:tc>
        <w:tc>
          <w:tcPr>
            <w:tcW w:w="686" w:type="pct"/>
            <w:vMerge w:val="continue"/>
            <w:vAlign w:val="center"/>
          </w:tcPr>
          <w:p>
            <w:pPr>
              <w:widowControl/>
              <w:outlineLvl w:val="0"/>
              <w:rPr>
                <w:rFonts w:ascii="宋体" w:hAnsi="宋体" w:cs="仿宋"/>
                <w:kern w:val="0"/>
                <w:szCs w:val="21"/>
              </w:rPr>
            </w:pPr>
          </w:p>
        </w:tc>
        <w:tc>
          <w:tcPr>
            <w:tcW w:w="686" w:type="pct"/>
            <w:vAlign w:val="center"/>
          </w:tcPr>
          <w:p>
            <w:pPr>
              <w:widowControl/>
              <w:outlineLvl w:val="0"/>
              <w:rPr>
                <w:rFonts w:ascii="宋体" w:hAnsi="宋体" w:cs="仿宋"/>
                <w:kern w:val="0"/>
                <w:szCs w:val="21"/>
              </w:rPr>
            </w:pPr>
            <w:r>
              <w:rPr>
                <w:rFonts w:hint="eastAsia" w:ascii="宋体" w:hAnsi="宋体" w:cs="仿宋"/>
                <w:kern w:val="0"/>
                <w:szCs w:val="21"/>
              </w:rPr>
              <w:t>产业研究与分析</w:t>
            </w:r>
          </w:p>
        </w:tc>
        <w:tc>
          <w:tcPr>
            <w:tcW w:w="196" w:type="pct"/>
            <w:vAlign w:val="center"/>
          </w:tcPr>
          <w:p>
            <w:pPr>
              <w:widowControl/>
              <w:outlineLvl w:val="0"/>
              <w:rPr>
                <w:rFonts w:ascii="仿宋_GB2312" w:hAnsi="仿宋" w:eastAsia="仿宋_GB2312" w:cs="仿宋"/>
                <w:kern w:val="0"/>
                <w:szCs w:val="21"/>
              </w:rPr>
            </w:pPr>
            <w:r>
              <w:rPr>
                <w:rFonts w:hint="eastAsia" w:ascii="仿宋_GB2312" w:hAnsi="仿宋" w:eastAsia="仿宋_GB2312" w:cs="仿宋"/>
                <w:kern w:val="0"/>
                <w:szCs w:val="21"/>
              </w:rPr>
              <w:t>1</w:t>
            </w:r>
          </w:p>
        </w:tc>
        <w:tc>
          <w:tcPr>
            <w:tcW w:w="2402" w:type="pct"/>
            <w:vAlign w:val="center"/>
          </w:tcPr>
          <w:p>
            <w:pPr>
              <w:widowControl/>
              <w:outlineLvl w:val="0"/>
              <w:rPr>
                <w:rFonts w:ascii="宋体" w:hAnsi="宋体" w:cs="仿宋"/>
                <w:kern w:val="0"/>
                <w:szCs w:val="21"/>
              </w:rPr>
            </w:pPr>
            <w:r>
              <w:rPr>
                <w:rFonts w:ascii="宋体" w:hAnsi="宋体" w:cs="仿宋"/>
                <w:kern w:val="0"/>
                <w:szCs w:val="21"/>
              </w:rPr>
              <w:t>产业经济学</w:t>
            </w:r>
            <w:r>
              <w:rPr>
                <w:rFonts w:hint="eastAsia" w:ascii="宋体" w:hAnsi="宋体" w:cs="仿宋"/>
                <w:kern w:val="0"/>
                <w:szCs w:val="21"/>
              </w:rPr>
              <w:t>、金融、金融学、房地产经济学、房地产经济与管理、城市经济学、城市经济与管理、城市与房地产经济学、能源经济、能源经济学、能源与气候经济、资源环境与循环经济、全球价值链、全球经济治理</w:t>
            </w:r>
          </w:p>
        </w:tc>
        <w:tc>
          <w:tcPr>
            <w:tcW w:w="441" w:type="pct"/>
            <w:vMerge w:val="continue"/>
            <w:vAlign w:val="center"/>
          </w:tcPr>
          <w:p>
            <w:pPr>
              <w:widowControl/>
              <w:outlineLvl w:val="0"/>
              <w:rPr>
                <w:rFonts w:ascii="宋体" w:hAnsi="宋体" w:cs="仿宋"/>
                <w:kern w:val="0"/>
                <w:szCs w:val="21"/>
              </w:rPr>
            </w:pPr>
          </w:p>
        </w:tc>
        <w:tc>
          <w:tcPr>
            <w:tcW w:w="294" w:type="pct"/>
            <w:vMerge w:val="continue"/>
            <w:vAlign w:val="center"/>
          </w:tcPr>
          <w:p>
            <w:pPr>
              <w:widowControl/>
              <w:outlineLvl w:val="0"/>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94" w:type="pct"/>
            <w:vAlign w:val="center"/>
          </w:tcPr>
          <w:p>
            <w:pPr>
              <w:widowControl/>
              <w:outlineLvl w:val="0"/>
              <w:rPr>
                <w:rFonts w:ascii="宋体" w:hAnsi="宋体" w:cs="仿宋"/>
                <w:kern w:val="0"/>
                <w:szCs w:val="21"/>
              </w:rPr>
            </w:pPr>
            <w:r>
              <w:rPr>
                <w:rFonts w:hint="eastAsia" w:ascii="宋体" w:hAnsi="宋体" w:cs="仿宋"/>
                <w:kern w:val="0"/>
                <w:szCs w:val="21"/>
              </w:rPr>
              <w:t>6</w:t>
            </w:r>
          </w:p>
        </w:tc>
        <w:tc>
          <w:tcPr>
            <w:tcW w:w="686" w:type="pct"/>
            <w:vMerge w:val="continue"/>
            <w:vAlign w:val="center"/>
          </w:tcPr>
          <w:p>
            <w:pPr>
              <w:widowControl/>
              <w:outlineLvl w:val="0"/>
              <w:rPr>
                <w:rFonts w:ascii="宋体" w:hAnsi="宋体" w:cs="仿宋"/>
                <w:kern w:val="0"/>
                <w:szCs w:val="21"/>
              </w:rPr>
            </w:pPr>
          </w:p>
        </w:tc>
        <w:tc>
          <w:tcPr>
            <w:tcW w:w="686" w:type="pct"/>
            <w:vAlign w:val="center"/>
          </w:tcPr>
          <w:p>
            <w:pPr>
              <w:widowControl/>
              <w:outlineLvl w:val="0"/>
              <w:rPr>
                <w:rFonts w:ascii="宋体" w:hAnsi="宋体" w:cs="仿宋"/>
                <w:kern w:val="0"/>
                <w:szCs w:val="21"/>
              </w:rPr>
            </w:pPr>
            <w:r>
              <w:rPr>
                <w:rFonts w:hint="eastAsia" w:ascii="宋体" w:hAnsi="宋体" w:cs="仿宋"/>
                <w:kern w:val="0"/>
                <w:szCs w:val="21"/>
              </w:rPr>
              <w:t>项目管理</w:t>
            </w:r>
          </w:p>
        </w:tc>
        <w:tc>
          <w:tcPr>
            <w:tcW w:w="196" w:type="pct"/>
            <w:vAlign w:val="center"/>
          </w:tcPr>
          <w:p>
            <w:pPr>
              <w:widowControl/>
              <w:outlineLvl w:val="0"/>
              <w:rPr>
                <w:rFonts w:ascii="仿宋_GB2312" w:hAnsi="仿宋" w:eastAsia="仿宋_GB2312" w:cs="仿宋"/>
                <w:kern w:val="0"/>
                <w:szCs w:val="21"/>
              </w:rPr>
            </w:pPr>
            <w:r>
              <w:rPr>
                <w:rFonts w:hint="eastAsia" w:ascii="仿宋_GB2312" w:hAnsi="仿宋" w:eastAsia="仿宋_GB2312" w:cs="仿宋"/>
                <w:kern w:val="0"/>
                <w:szCs w:val="21"/>
              </w:rPr>
              <w:t>1</w:t>
            </w:r>
          </w:p>
        </w:tc>
        <w:tc>
          <w:tcPr>
            <w:tcW w:w="2402" w:type="pct"/>
            <w:vAlign w:val="center"/>
          </w:tcPr>
          <w:p>
            <w:pPr>
              <w:widowControl/>
              <w:outlineLvl w:val="0"/>
              <w:rPr>
                <w:rFonts w:ascii="宋体" w:hAnsi="宋体" w:cs="仿宋"/>
                <w:kern w:val="0"/>
                <w:szCs w:val="21"/>
              </w:rPr>
            </w:pPr>
            <w:r>
              <w:rPr>
                <w:rFonts w:hint="eastAsia" w:ascii="宋体" w:hAnsi="宋体" w:cs="仿宋"/>
                <w:kern w:val="0"/>
                <w:szCs w:val="21"/>
              </w:rPr>
              <w:t>工程管理、建设工程管理、建筑与城乡规划设计、市政工程、土木工程、土木工程规划与管理、土木工程建造与管理、智慧城市建造与管理</w:t>
            </w:r>
          </w:p>
        </w:tc>
        <w:tc>
          <w:tcPr>
            <w:tcW w:w="441" w:type="pct"/>
            <w:vMerge w:val="continue"/>
            <w:vAlign w:val="center"/>
          </w:tcPr>
          <w:p>
            <w:pPr>
              <w:widowControl/>
              <w:outlineLvl w:val="0"/>
              <w:rPr>
                <w:rFonts w:ascii="宋体" w:hAnsi="宋体" w:cs="仿宋"/>
                <w:kern w:val="0"/>
                <w:szCs w:val="21"/>
              </w:rPr>
            </w:pPr>
          </w:p>
        </w:tc>
        <w:tc>
          <w:tcPr>
            <w:tcW w:w="294" w:type="pct"/>
            <w:vMerge w:val="continue"/>
            <w:vAlign w:val="center"/>
          </w:tcPr>
          <w:p>
            <w:pPr>
              <w:widowControl/>
              <w:outlineLvl w:val="0"/>
              <w:rPr>
                <w:rFonts w:ascii="宋体" w:hAnsi="宋体" w:cs="仿宋"/>
                <w:kern w:val="0"/>
                <w:szCs w:val="21"/>
              </w:rPr>
            </w:pP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DCDF38-117C-4C83-A32A-C646A43374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099D27B-32B0-4CA8-99FD-CF3114083F41}"/>
  </w:font>
  <w:font w:name="方正小标宋简体">
    <w:panose1 w:val="02000000000000000000"/>
    <w:charset w:val="86"/>
    <w:family w:val="script"/>
    <w:pitch w:val="default"/>
    <w:sig w:usb0="00000001" w:usb1="08000000" w:usb2="00000000" w:usb3="00000000" w:csb0="00040000" w:csb1="00000000"/>
    <w:embedRegular r:id="rId3" w:fontKey="{AB4C1CCF-705B-474A-A297-B44D3E9FA308}"/>
  </w:font>
  <w:font w:name="仿宋">
    <w:panose1 w:val="02010609060101010101"/>
    <w:charset w:val="86"/>
    <w:family w:val="modern"/>
    <w:pitch w:val="default"/>
    <w:sig w:usb0="800002BF" w:usb1="38CF7CFA" w:usb2="00000016" w:usb3="00000000" w:csb0="00040001" w:csb1="00000000"/>
    <w:embedRegular r:id="rId4" w:fontKey="{D50E3F41-3F6D-4919-9AE6-7321F5D0A82A}"/>
  </w:font>
  <w:font w:name="仿宋_GB2312">
    <w:panose1 w:val="02010609030101010101"/>
    <w:charset w:val="86"/>
    <w:family w:val="modern"/>
    <w:pitch w:val="default"/>
    <w:sig w:usb0="00000001" w:usb1="080E0000" w:usb2="00000000" w:usb3="00000000" w:csb0="00040000" w:csb1="00000000"/>
    <w:embedRegular r:id="rId5" w:fontKey="{FC1E3E4F-55F4-492A-B9AC-404A13EB1D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E2576"/>
    <w:rsid w:val="603E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2021-07-23T01:24:00Z</dcterms:created>
  <dc:creator>-邵嘉达</dc:creator>
  <cp:lastModifiedBy>-邵嘉达</cp:lastModifiedBy>
  <dcterms:modified xsi:type="dcterms:W3CDTF">2021-07-23T01:24:55Z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C4D12CF41FFC4BC0AC94966446025A49</vt:lpwstr>
  </property>
</Properties>
</file>