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lang w:eastAsia="zh-CN"/>
        </w:rPr>
        <w:t>萧县高学历、高技能人才奖补政策</w:t>
      </w:r>
    </w:p>
    <w:p>
      <w:pPr>
        <w:rPr>
          <w:rFonts w:hint="eastAsia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奖补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奖补对象为全日制本科及以上毕业生(专升本、在职期间读研、定向培养生、委托培养生以及网络学院、成人教育学院和独立学院的毕业生不列入奖补范围)。全日制本科毕业生需毕业于“双一流”建设高校，全日制硕士、博士研究生不限学校。为便于解释相关政策，现将奖补对象分类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一类人才：“双一流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”建设高校全日制博士研究生。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二类人才：非“双一流”建设高校全日制博士研究生。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三类人才：“双一流”建设高校全日制硕士研究生。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四类人才：非“双一流”建设高校全日制硕士研究生。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五类人才：“双一流”建设高校全日制本科生。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二、年龄要求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全日制博士研究生的年龄要求在4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周岁以下、全日制硕士研究生的年龄要求在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周岁以下、全日制本科生的年龄要求在3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周岁以下。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三、相关政策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回引人员除享受国家统一规定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的事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业单位工作人员工资和各项福利外，还享受以下政策待遇：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1.生活补贴。由本人提出申请，经批准后每月可领取相应的生活补贴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如夫妻双方均符合条件，可以重复发放。具体标准为：一类人才1000元/月、二类人才900元/月、三类人才800元/月、四类人才700元/月、五类人才600元/月。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2.租房补贴。夫妻双方在县域内均无房人员，凭不动产登记机构出具的住房情况证明等，按照规定程序申请办理租房补贴。如夫妻双方均符合条件，按“一人全额、一人减半”标准享受。具体标准为：一类人才1000元/月、二类人才900元/月、三类人才800元/月、四类人才700元/月、五类人才600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3.购房补贴。夫妻双方在县域内均无房人员，在县域内购买首套商品房，凭房屋买卖合同等，经评审合格，可一次性申请购房补贴。购房补贴每人仅享受一次，补贴金额等于60个月租房补贴总额。购房补贴与租房补贴不重复享受，选择先租房后购房的，在申请支付购房补贴时扣除已按月支付的租房补贴。如夫妻双方均符合条件，按“一人全额、一人减半”标准享受。具体标准为：一类人才6万元、二类人才5.4万元、三类人才4.8万元、四类人才4.2万元、五类人才3.6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4.家属就业。按照“身份对等、双向选择、统筹调配、适当照顾”的原则，安置招聘人才配偶：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原在机关（含参照公务员法管理单位）事业单位工作的，可根据本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人条件，优先安排到我县机关（含参照公务员法管理单位）事业单位；原在企业工作的，县人社局优先推荐就业；自谋职业、自主创业的，可向县人社局提出自主创业申请，按程序审批后，享受贷款扶持等自主创业的优惠政策，参加职业技能培训和相关职业技能鉴定符合条件的，按有关规定给予职业技能培训补贴和鉴定补贴； 尚未就业的，可由招聘人才用人单位根据本人条件优先提供临时工作。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5.子女入学。子女就读幼儿园、义务教育阶段学校的，可由教育部门统筹安排到社会公认度较高的学校就读；子女系普通高中生的，充分考虑个人意愿，优先安排到公办高中就读。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6.落户政策。可在工作地或居住地落户，配偶、未婚子女及父母可随本人迁移户口。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四、相关要求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享受各类优惠政策的高学历人才须在我县工作满五年，不满5年的人员，须在调出前退还所享受各类经济补贴。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——摘自《萧县高学历、高技能人才引育用留工作暂行办法》（萧办发[2018]32号）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54831"/>
    <w:rsid w:val="08092B4B"/>
    <w:rsid w:val="21DB373B"/>
    <w:rsid w:val="30F45445"/>
    <w:rsid w:val="35D54831"/>
    <w:rsid w:val="37046604"/>
    <w:rsid w:val="4CB93110"/>
    <w:rsid w:val="5AE62803"/>
    <w:rsid w:val="63DF2C06"/>
    <w:rsid w:val="6C095E9E"/>
    <w:rsid w:val="6D535020"/>
    <w:rsid w:val="7AAD1091"/>
    <w:rsid w:val="7E97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2021-03-15T01:15:00Z</dcterms:created>
  <dc:creator>李娜</dc:creator>
  <cp:lastModifiedBy>似水流年</cp:lastModifiedBy>
  <dcterms:modified xsi:type="dcterms:W3CDTF">2021-07-16T07:03:22Z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02706EBF5F4F485BB67C867409388DDD</vt:lpwstr>
  </property>
</Properties>
</file>