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t>俄罗斯东欧中亚研究所流动站博士后合作导师及研究方向（按姓氏笔画排名）</w:t>
      </w:r>
    </w:p>
    <w:bookmarkEnd w:id="0"/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0"/>
        <w:gridCol w:w="59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合作导师姓名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研究方向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刘显忠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苏联历史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孙壮志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中亚国际关系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庞大鹏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俄罗斯政治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徐坡岭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俄罗斯经济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6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高  歌 </w:t>
            </w:r>
          </w:p>
        </w:tc>
        <w:tc>
          <w:tcPr>
            <w:tcW w:w="592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15"/>
                <w:sz w:val="27"/>
                <w:szCs w:val="27"/>
                <w:bdr w:val="none" w:color="auto" w:sz="0" w:space="0"/>
              </w:rPr>
              <w:t>中东欧问题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5C41"/>
    <w:rsid w:val="3FA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2021-08-02T01:22:00Z</dcterms:created>
  <dc:creator>Administrator</dc:creator>
  <cp:lastModifiedBy>Administrator</cp:lastModifiedBy>
  <dcterms:modified xsi:type="dcterms:W3CDTF">2021-08-02T02:10:50Z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