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附件1：</w:t>
      </w:r>
    </w:p>
    <w:p>
      <w:pPr>
        <w:pStyle w:val="2"/>
        <w:rPr>
          <w:rFonts w:hint="eastAsia"/>
          <w:color w:val="000000"/>
        </w:rPr>
      </w:pPr>
    </w:p>
    <w:p>
      <w:pPr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瑞金市2021年公开招聘国企紧缺人才岗位计划表</w:t>
      </w:r>
    </w:p>
    <w:p>
      <w:pPr>
        <w:pStyle w:val="2"/>
        <w:rPr>
          <w:rFonts w:hint="eastAsia"/>
          <w:color w:val="000000"/>
          <w:lang w:bidi="ar"/>
        </w:rPr>
      </w:pPr>
    </w:p>
    <w:tbl>
      <w:tblPr>
        <w:tblStyle w:val="6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08"/>
        <w:gridCol w:w="894"/>
        <w:gridCol w:w="1927"/>
        <w:gridCol w:w="1425"/>
        <w:gridCol w:w="2143"/>
        <w:gridCol w:w="1188"/>
        <w:gridCol w:w="1850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tblHeader/>
          <w:jc w:val="center"/>
        </w:trPr>
        <w:tc>
          <w:tcPr>
            <w:tcW w:w="541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紧缺岗位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927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25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职称(职业资格)</w:t>
            </w:r>
          </w:p>
        </w:tc>
        <w:tc>
          <w:tcPr>
            <w:tcW w:w="2143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学历（学位）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年龄（岁）</w:t>
            </w:r>
          </w:p>
        </w:tc>
        <w:tc>
          <w:tcPr>
            <w:tcW w:w="1850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年薪</w:t>
            </w:r>
          </w:p>
        </w:tc>
        <w:tc>
          <w:tcPr>
            <w:tcW w:w="2589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楷体_GB2312" w:hAnsi="Times New Roman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资本运营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金融、经济管理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风险管理师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中级及以上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全日制本科及以上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40周岁以内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18万元（基本薪酬约10万元/年，绩效、五险一金等约8万元/年）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408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高级财务管理人员</w:t>
            </w:r>
          </w:p>
        </w:tc>
        <w:tc>
          <w:tcPr>
            <w:tcW w:w="894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927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会计、金融</w:t>
            </w:r>
          </w:p>
        </w:tc>
        <w:tc>
          <w:tcPr>
            <w:tcW w:w="1425" w:type="dxa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注册会计师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全日制本科及以上</w:t>
            </w: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具有5年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以上财务管理相关工作经验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基金管理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金融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基金从业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研究生（硕士学位）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40周岁以内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30万元（基本薪酬约20万元/年，绩效、五险一金等约10万元/年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具备5年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以上私募基金管理工作经验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法务机构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法律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获法律职业资格证书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A证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全日制本科及以上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50周岁以内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12万元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从事法律实务2年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300" w:lineRule="exact"/>
              <w:ind w:firstLine="240" w:firstLineChars="100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电子工程、计算机、交通工程、空管工程专业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民航一级建造师</w:t>
            </w: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全日制本科及以上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40周岁以内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18万元（基本薪酬约10万元/年，绩效、五险一金等约8万元/年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1.具有中级工程师职称优先；2.具备3年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以上民航专业空管工程相关工作经验。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电气类、电气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自动化专业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机电一级建造师</w:t>
            </w: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1.具有中级工程师职称优先；2.具备3年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以上民航专业弱电工程相关工作经验。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机场场道工程、交通工程、公路工程、岩土工程专业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公路、民航一级建造师</w:t>
            </w: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1.具有中级工程师职称优先；2.具备3年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以上民航专业场道工程相关工作经验。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道路桥梁工程技术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一级建造师</w:t>
            </w: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全日制本科及以上</w:t>
            </w:r>
          </w:p>
        </w:tc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40周岁以内</w:t>
            </w: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15万元（基本薪酬8万元+绩效、五险一金等7万元）</w:t>
            </w:r>
          </w:p>
        </w:tc>
        <w:tc>
          <w:tcPr>
            <w:tcW w:w="258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具有从事本行业5年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以上工作经验，具有中级工程师职称优先。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工程建筑、市政专业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一级建造师</w:t>
            </w: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8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土木工程、工程造价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一级造价师</w:t>
            </w: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8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工程管理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水利工程、水利水电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一级建造师</w:t>
            </w: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8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jc w:val="center"/>
        <w:textAlignment w:val="center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4F1E"/>
    <w:rsid w:val="4C466215"/>
    <w:rsid w:val="56856DCD"/>
    <w:rsid w:val="64E27D3C"/>
    <w:rsid w:val="70374F1E"/>
    <w:rsid w:val="74CF7454"/>
    <w:rsid w:val="7E2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2021-07-27T08:24:00Z</dcterms:created>
  <dc:creator>10563</dc:creator>
  <cp:lastModifiedBy>瑞金市委办</cp:lastModifiedBy>
  <dcterms:modified xsi:type="dcterms:W3CDTF">2021-07-28T07:17:09Z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39C9144CF7054D2788133C9F5A8A6175</vt:lpwstr>
  </property>
</Properties>
</file>