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绍兴滨海新区国有企业招聘计划表</w:t>
      </w:r>
    </w:p>
    <w:tbl>
      <w:tblPr>
        <w:tblStyle w:val="5"/>
        <w:tblW w:w="14441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25"/>
        <w:gridCol w:w="930"/>
        <w:gridCol w:w="3654"/>
        <w:gridCol w:w="1582"/>
        <w:gridCol w:w="451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365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582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4514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032" w:type="dxa"/>
            <w:vAlign w:val="center"/>
          </w:tcPr>
          <w:p>
            <w:pPr>
              <w:spacing w:line="120" w:lineRule="auto"/>
              <w:jc w:val="center"/>
              <w:rPr>
                <w:rFonts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市政工程管理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市政工程、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土木工程、给排水科学与工程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道路桥梁与渡河工程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在工程设计、工程管理或工程监理岗位上有5年以上工作经历，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工程师及以上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职称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水利工程管理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市政工程、水利类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、给排水科学与工程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道路桥梁与渡河工程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机电工程管理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电气类、土木工程、给排水科学与工程、建筑环境与设备工程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5年以上房建项目机电安装现场管理经历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房建工程管理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建筑学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、结构学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、工程管理、风景园林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在工程设计、工程管理或工程监理岗位上有5年以上工作经历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；工程师及以上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职称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；男性，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适应野外工程管理工作。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房建工程管理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建筑学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、结构学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、工程管理、风景园林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在工程设计、工程管理或工程监理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、项目报建、招投标等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岗位上有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，男性。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高级工程师或一级建造师年龄可放宽到40周岁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工程造价管理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工程造价、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土木工程、工程管理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40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；3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工程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造价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相关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工作经历，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具有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造价师执业资格。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工程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设计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土木工程、环境设计、风景园林、建筑学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、设计类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30周岁（含）以下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财务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财务会计教育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、统计学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本科以上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周岁（含）及以下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；3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年以上会计工作经历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会计师职称。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财务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财务会计教育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30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岁（含）及以下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；2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年以上会计工作经历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具有会计从业资格证。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投资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经营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经济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学、国际经济与贸易、金融学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35周岁（含）以下，具有2年以上资产经营管理实际操作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经历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ind w:firstLine="110" w:firstLineChars="50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招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市场营销、国际经济与贸易、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商务策划管理、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金融学、工商管理、经济学、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新闻传播及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英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语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、日语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，3年以上机关及企事业单位相关工作经历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招商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市场营销、国际经济与贸易、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商务策划管理、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金融学、工商管理、经济学、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新闻传播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、英语、设计广告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类专业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30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周岁（含）以下。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招商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运营3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生物学、医学、药学、经济学、国际经济与贸易、市场营销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35周岁（含）以下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管理1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计算机科学与技术、电子信息工程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35周岁（含）以下；5年以上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lang w:eastAsia="zh-CN"/>
              </w:rPr>
              <w:t>机关及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企事业单位相关工作经历；中共党员。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9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管理2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6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人力资源管理、汉语言文学、新闻传播、行政管理、劳动与社会保障</w:t>
            </w:r>
          </w:p>
        </w:tc>
        <w:tc>
          <w:tcPr>
            <w:tcW w:w="15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/学士</w:t>
            </w:r>
          </w:p>
        </w:tc>
        <w:tc>
          <w:tcPr>
            <w:tcW w:w="451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>30周岁（含）以下。</w:t>
            </w:r>
          </w:p>
        </w:tc>
        <w:tc>
          <w:tcPr>
            <w:tcW w:w="203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600E3"/>
    <w:rsid w:val="03704635"/>
    <w:rsid w:val="06674045"/>
    <w:rsid w:val="06E600E3"/>
    <w:rsid w:val="0C2232B0"/>
    <w:rsid w:val="0CF051D3"/>
    <w:rsid w:val="187C1B1B"/>
    <w:rsid w:val="18E155AF"/>
    <w:rsid w:val="1981449E"/>
    <w:rsid w:val="19A34C4D"/>
    <w:rsid w:val="1C9740D5"/>
    <w:rsid w:val="1DFF363E"/>
    <w:rsid w:val="23441F9C"/>
    <w:rsid w:val="2B2D646A"/>
    <w:rsid w:val="2D9C47F7"/>
    <w:rsid w:val="2E2B2E6C"/>
    <w:rsid w:val="32BE77EA"/>
    <w:rsid w:val="336C63E8"/>
    <w:rsid w:val="33F3613F"/>
    <w:rsid w:val="37677659"/>
    <w:rsid w:val="376B0E16"/>
    <w:rsid w:val="38E1183F"/>
    <w:rsid w:val="3CB45666"/>
    <w:rsid w:val="3F0459DB"/>
    <w:rsid w:val="416534EC"/>
    <w:rsid w:val="48AD01F5"/>
    <w:rsid w:val="49253BB5"/>
    <w:rsid w:val="4A194280"/>
    <w:rsid w:val="4A3428C1"/>
    <w:rsid w:val="4FDF70AD"/>
    <w:rsid w:val="510F3802"/>
    <w:rsid w:val="58B5096E"/>
    <w:rsid w:val="5B1757B3"/>
    <w:rsid w:val="5CC5551B"/>
    <w:rsid w:val="609E7B6F"/>
    <w:rsid w:val="61871746"/>
    <w:rsid w:val="6595321E"/>
    <w:rsid w:val="668247C7"/>
    <w:rsid w:val="6E7E7EED"/>
    <w:rsid w:val="6F84270C"/>
    <w:rsid w:val="713317BB"/>
    <w:rsid w:val="73632A3E"/>
    <w:rsid w:val="7A1255AD"/>
    <w:rsid w:val="7AE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2021-06-25T00:58:00Z</dcterms:created>
  <dc:creator>bh</dc:creator>
  <cp:lastModifiedBy>admin</cp:lastModifiedBy>
  <cp:lastPrinted>2021-07-30T07:12:00Z</cp:lastPrinted>
  <dcterms:modified xsi:type="dcterms:W3CDTF">2021-08-03T01:24:22Z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