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20" w:lineRule="exact"/>
        <w:jc w:val="center"/>
        <w:textAlignment w:val="auto"/>
        <w:rPr>
          <w:rFonts w:hint="eastAsia" w:ascii="华文中宋" w:hAnsi="华文中宋" w:eastAsia="华文中宋" w:cs="华文中宋"/>
          <w:bCs/>
          <w:color w:val="333333"/>
          <w:sz w:val="44"/>
          <w:szCs w:val="44"/>
        </w:rPr>
      </w:pPr>
      <w:r>
        <w:rPr>
          <w:rFonts w:hint="eastAsia" w:ascii="华文中宋" w:hAnsi="华文中宋" w:eastAsia="华文中宋" w:cs="华文中宋"/>
          <w:bCs/>
          <w:color w:val="333333"/>
          <w:sz w:val="44"/>
          <w:szCs w:val="44"/>
        </w:rPr>
        <w:t>嘉兴市急救中心2021年公开招聘</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华文中宋" w:hAnsi="华文中宋" w:eastAsia="华文中宋" w:cs="华文中宋"/>
          <w:bCs/>
          <w:color w:val="333333"/>
          <w:sz w:val="44"/>
          <w:szCs w:val="44"/>
        </w:rPr>
      </w:pPr>
      <w:r>
        <w:rPr>
          <w:rFonts w:hint="eastAsia" w:ascii="华文中宋" w:hAnsi="华文中宋" w:eastAsia="华文中宋" w:cs="华文中宋"/>
          <w:bCs/>
          <w:color w:val="333333"/>
          <w:sz w:val="44"/>
          <w:szCs w:val="44"/>
        </w:rPr>
        <w:t>编外合同制</w:t>
      </w:r>
      <w:r>
        <w:rPr>
          <w:rFonts w:hint="eastAsia" w:ascii="华文中宋" w:hAnsi="华文中宋" w:eastAsia="华文中宋" w:cs="华文中宋"/>
          <w:bCs/>
          <w:color w:val="333333"/>
          <w:sz w:val="44"/>
          <w:szCs w:val="44"/>
        </w:rPr>
        <w:t>人员公告（五）</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因中心业务工作需要，经研究，决定公开招聘编外合同制人员7名，现将公开招聘有关事项公告如下：</w:t>
      </w:r>
    </w:p>
    <w:p>
      <w:pPr>
        <w:pStyle w:val="10"/>
        <w:numPr>
          <w:ilvl w:val="0"/>
          <w:numId w:val="1"/>
        </w:numPr>
        <w:adjustRightInd/>
        <w:snapToGrid/>
        <w:spacing w:after="0" w:line="560" w:lineRule="exact"/>
        <w:ind w:firstLineChars="0"/>
        <w:jc w:val="both"/>
        <w:rPr>
          <w:rFonts w:ascii="黑体" w:hAnsi="黑体" w:eastAsia="黑体" w:cs="Arial"/>
          <w:color w:val="000000"/>
          <w:sz w:val="32"/>
          <w:szCs w:val="32"/>
        </w:rPr>
      </w:pPr>
      <w:r>
        <w:rPr>
          <w:rFonts w:hint="eastAsia" w:ascii="黑体" w:hAnsi="黑体" w:eastAsia="黑体" w:cs="Arial"/>
          <w:color w:val="000000"/>
          <w:sz w:val="32"/>
          <w:szCs w:val="32"/>
        </w:rPr>
        <w:t xml:space="preserve">招聘计划和要求 </w:t>
      </w:r>
    </w:p>
    <w:tbl>
      <w:tblPr>
        <w:tblStyle w:val="6"/>
        <w:tblW w:w="93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24"/>
        <w:gridCol w:w="1850"/>
        <w:gridCol w:w="2706"/>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24" w:type="dxa"/>
            <w:vAlign w:val="center"/>
          </w:tcPr>
          <w:p>
            <w:pPr>
              <w:adjustRightInd/>
              <w:snapToGrid/>
              <w:spacing w:after="0"/>
              <w:jc w:val="center"/>
              <w:rPr>
                <w:rFonts w:ascii="Arial" w:hAnsi="Arial" w:eastAsia="宋体" w:cs="Arial"/>
                <w:sz w:val="21"/>
                <w:szCs w:val="21"/>
              </w:rPr>
            </w:pPr>
            <w:r>
              <w:rPr>
                <w:rFonts w:hint="eastAsia" w:ascii="黑体" w:hAnsi="黑体" w:eastAsia="黑体" w:cs="Arial"/>
                <w:sz w:val="29"/>
                <w:szCs w:val="29"/>
              </w:rPr>
              <w:t>招聘岗位</w:t>
            </w:r>
          </w:p>
        </w:tc>
        <w:tc>
          <w:tcPr>
            <w:tcW w:w="1424" w:type="dxa"/>
            <w:vAlign w:val="center"/>
          </w:tcPr>
          <w:p>
            <w:pPr>
              <w:adjustRightInd/>
              <w:snapToGrid/>
              <w:spacing w:after="0"/>
              <w:jc w:val="center"/>
              <w:rPr>
                <w:rFonts w:ascii="Arial" w:hAnsi="Arial" w:eastAsia="宋体" w:cs="Arial"/>
                <w:sz w:val="21"/>
                <w:szCs w:val="21"/>
              </w:rPr>
            </w:pPr>
            <w:r>
              <w:rPr>
                <w:rFonts w:hint="eastAsia" w:ascii="黑体" w:hAnsi="黑体" w:eastAsia="黑体" w:cs="Arial"/>
                <w:sz w:val="29"/>
                <w:szCs w:val="29"/>
              </w:rPr>
              <w:t>招聘人数</w:t>
            </w:r>
          </w:p>
        </w:tc>
        <w:tc>
          <w:tcPr>
            <w:tcW w:w="1850" w:type="dxa"/>
            <w:vAlign w:val="center"/>
          </w:tcPr>
          <w:p>
            <w:pPr>
              <w:adjustRightInd/>
              <w:snapToGrid/>
              <w:spacing w:after="0"/>
              <w:jc w:val="center"/>
              <w:rPr>
                <w:rFonts w:ascii="Arial" w:hAnsi="Arial" w:eastAsia="宋体" w:cs="Arial"/>
                <w:sz w:val="21"/>
                <w:szCs w:val="21"/>
              </w:rPr>
            </w:pPr>
            <w:r>
              <w:rPr>
                <w:rFonts w:hint="eastAsia" w:ascii="黑体" w:hAnsi="黑体" w:eastAsia="黑体" w:cs="Arial"/>
                <w:sz w:val="29"/>
                <w:szCs w:val="29"/>
              </w:rPr>
              <w:t>学历</w:t>
            </w:r>
          </w:p>
        </w:tc>
        <w:tc>
          <w:tcPr>
            <w:tcW w:w="2706" w:type="dxa"/>
            <w:vAlign w:val="center"/>
          </w:tcPr>
          <w:p>
            <w:pPr>
              <w:adjustRightInd/>
              <w:snapToGrid/>
              <w:spacing w:after="0"/>
              <w:jc w:val="center"/>
              <w:rPr>
                <w:rFonts w:ascii="Arial" w:hAnsi="Arial" w:eastAsia="宋体" w:cs="Arial"/>
                <w:sz w:val="21"/>
                <w:szCs w:val="21"/>
              </w:rPr>
            </w:pPr>
            <w:r>
              <w:rPr>
                <w:rFonts w:hint="eastAsia" w:ascii="黑体" w:hAnsi="黑体" w:eastAsia="黑体" w:cs="Arial"/>
                <w:sz w:val="29"/>
                <w:szCs w:val="29"/>
              </w:rPr>
              <w:t>专业要求</w:t>
            </w:r>
          </w:p>
        </w:tc>
        <w:tc>
          <w:tcPr>
            <w:tcW w:w="1993" w:type="dxa"/>
            <w:vAlign w:val="center"/>
          </w:tcPr>
          <w:p>
            <w:pPr>
              <w:adjustRightInd/>
              <w:snapToGrid/>
              <w:spacing w:after="0"/>
              <w:jc w:val="center"/>
              <w:rPr>
                <w:rFonts w:ascii="Arial" w:hAnsi="Arial" w:eastAsia="宋体" w:cs="Arial"/>
                <w:sz w:val="21"/>
                <w:szCs w:val="21"/>
              </w:rPr>
            </w:pPr>
            <w:r>
              <w:rPr>
                <w:rFonts w:hint="eastAsia" w:ascii="黑体" w:hAnsi="黑体" w:eastAsia="黑体" w:cs="Arial"/>
                <w:sz w:val="29"/>
                <w:szCs w:val="29"/>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4" w:type="dxa"/>
            <w:vAlign w:val="center"/>
          </w:tcPr>
          <w:p>
            <w:pPr>
              <w:adjustRightInd/>
              <w:snapToGrid/>
              <w:spacing w:after="0"/>
              <w:jc w:val="center"/>
              <w:rPr>
                <w:rFonts w:ascii="仿宋_GB2312" w:hAnsi="Arial" w:eastAsia="仿宋_GB2312" w:cs="Arial"/>
                <w:sz w:val="30"/>
                <w:szCs w:val="30"/>
              </w:rPr>
            </w:pPr>
            <w:r>
              <w:rPr>
                <w:rFonts w:hint="eastAsia" w:ascii="仿宋_GB2312" w:hAnsi="Arial" w:eastAsia="仿宋_GB2312" w:cs="Arial"/>
                <w:sz w:val="30"/>
                <w:szCs w:val="30"/>
              </w:rPr>
              <w:t>驾驶员</w:t>
            </w:r>
          </w:p>
        </w:tc>
        <w:tc>
          <w:tcPr>
            <w:tcW w:w="1424" w:type="dxa"/>
            <w:vAlign w:val="center"/>
          </w:tcPr>
          <w:p>
            <w:pPr>
              <w:adjustRightInd/>
              <w:snapToGrid/>
              <w:spacing w:after="0"/>
              <w:jc w:val="center"/>
              <w:rPr>
                <w:rFonts w:ascii="仿宋_GB2312" w:hAnsi="Arial" w:eastAsia="仿宋_GB2312" w:cs="Arial"/>
                <w:sz w:val="30"/>
                <w:szCs w:val="30"/>
              </w:rPr>
            </w:pPr>
            <w:r>
              <w:rPr>
                <w:rFonts w:hint="eastAsia" w:ascii="仿宋_GB2312" w:hAnsi="Arial" w:eastAsia="仿宋_GB2312" w:cs="Arial"/>
                <w:sz w:val="30"/>
                <w:szCs w:val="30"/>
              </w:rPr>
              <w:t>4</w:t>
            </w:r>
          </w:p>
        </w:tc>
        <w:tc>
          <w:tcPr>
            <w:tcW w:w="1850" w:type="dxa"/>
            <w:vAlign w:val="center"/>
          </w:tcPr>
          <w:p>
            <w:pPr>
              <w:adjustRightInd/>
              <w:snapToGrid/>
              <w:spacing w:after="0"/>
              <w:jc w:val="center"/>
              <w:rPr>
                <w:rFonts w:ascii="仿宋_GB2312" w:hAnsi="Arial" w:eastAsia="仿宋_GB2312" w:cs="Arial"/>
                <w:sz w:val="30"/>
                <w:szCs w:val="30"/>
              </w:rPr>
            </w:pPr>
            <w:r>
              <w:rPr>
                <w:rFonts w:hint="eastAsia" w:ascii="仿宋_GB2312" w:hAnsi="Arial" w:eastAsia="仿宋_GB2312" w:cs="Arial"/>
                <w:sz w:val="30"/>
                <w:szCs w:val="30"/>
              </w:rPr>
              <w:t>高中（中专）及以上</w:t>
            </w:r>
          </w:p>
        </w:tc>
        <w:tc>
          <w:tcPr>
            <w:tcW w:w="2706" w:type="dxa"/>
            <w:vAlign w:val="center"/>
          </w:tcPr>
          <w:p>
            <w:pPr>
              <w:adjustRightInd/>
              <w:snapToGrid/>
              <w:spacing w:after="0"/>
              <w:jc w:val="center"/>
              <w:rPr>
                <w:rFonts w:ascii="仿宋_GB2312" w:hAnsi="Arial" w:eastAsia="仿宋_GB2312" w:cs="Arial"/>
                <w:sz w:val="30"/>
                <w:szCs w:val="30"/>
              </w:rPr>
            </w:pPr>
            <w:r>
              <w:rPr>
                <w:rFonts w:hint="eastAsia" w:ascii="仿宋_GB2312" w:hAnsi="Arial" w:eastAsia="仿宋_GB2312" w:cs="Arial"/>
                <w:sz w:val="30"/>
                <w:szCs w:val="30"/>
              </w:rPr>
              <w:t>持有C1驾照驾驶证且5年以上连续驾龄或持有</w:t>
            </w:r>
            <w:r>
              <w:rPr>
                <w:rFonts w:hint="eastAsia" w:ascii="仿宋_GB2312" w:hAnsi="ˎ̥" w:eastAsia="仿宋_GB2312" w:cs="Arial"/>
                <w:color w:val="000000"/>
                <w:sz w:val="30"/>
                <w:szCs w:val="30"/>
              </w:rPr>
              <w:t>B</w:t>
            </w:r>
            <w:r>
              <w:rPr>
                <w:rFonts w:hint="eastAsia" w:ascii="仿宋_GB2312" w:hAnsi="Arial" w:eastAsia="仿宋_GB2312" w:cs="Arial"/>
                <w:b/>
                <w:bCs/>
                <w:sz w:val="30"/>
                <w:szCs w:val="30"/>
              </w:rPr>
              <w:t>2</w:t>
            </w:r>
            <w:r>
              <w:rPr>
                <w:rFonts w:hint="eastAsia" w:ascii="仿宋_GB2312" w:hAnsi="Arial" w:eastAsia="仿宋_GB2312" w:cs="Arial"/>
                <w:sz w:val="30"/>
                <w:szCs w:val="30"/>
              </w:rPr>
              <w:t>驾照及以上驾驶证且3年以上连续驾龄，</w:t>
            </w:r>
            <w:r>
              <w:rPr>
                <w:rFonts w:ascii="仿宋_GB2312" w:hAnsi="Arial" w:eastAsia="仿宋_GB2312" w:cs="Arial"/>
                <w:sz w:val="30"/>
                <w:szCs w:val="30"/>
              </w:rPr>
              <w:t>驾驶技术优秀，</w:t>
            </w:r>
            <w:r>
              <w:rPr>
                <w:rFonts w:hint="eastAsia" w:ascii="仿宋_GB2312" w:hAnsi="Arial" w:eastAsia="仿宋_GB2312" w:cs="Arial"/>
                <w:sz w:val="30"/>
                <w:szCs w:val="30"/>
              </w:rPr>
              <w:t>熟悉嘉兴市道路情况，了解</w:t>
            </w:r>
            <w:r>
              <w:rPr>
                <w:rFonts w:ascii="仿宋_GB2312" w:hAnsi="Arial" w:eastAsia="仿宋_GB2312" w:cs="Arial"/>
                <w:sz w:val="30"/>
                <w:szCs w:val="30"/>
              </w:rPr>
              <w:t>车辆的基本维修、保养知识。</w:t>
            </w:r>
          </w:p>
        </w:tc>
        <w:tc>
          <w:tcPr>
            <w:tcW w:w="1993" w:type="dxa"/>
            <w:vAlign w:val="center"/>
          </w:tcPr>
          <w:p>
            <w:pPr>
              <w:adjustRightInd/>
              <w:snapToGrid/>
              <w:spacing w:after="0"/>
              <w:jc w:val="center"/>
              <w:rPr>
                <w:rFonts w:ascii="仿宋_GB2312" w:hAnsi="Arial" w:eastAsia="仿宋_GB2312" w:cs="Arial"/>
                <w:sz w:val="30"/>
                <w:szCs w:val="30"/>
              </w:rPr>
            </w:pPr>
            <w:r>
              <w:rPr>
                <w:rFonts w:hint="eastAsia" w:ascii="仿宋_GB2312" w:hAnsi="Arial" w:eastAsia="仿宋_GB2312" w:cs="Arial"/>
                <w:sz w:val="30"/>
                <w:szCs w:val="30"/>
              </w:rPr>
              <w:t>从事</w:t>
            </w:r>
            <w:r>
              <w:rPr>
                <w:rFonts w:ascii="仿宋_GB2312" w:hAnsi="Arial" w:eastAsia="仿宋_GB2312" w:cs="Arial"/>
                <w:sz w:val="30"/>
                <w:szCs w:val="30"/>
              </w:rPr>
              <w:t>市急救中心救护车驾</w:t>
            </w:r>
            <w:r>
              <w:rPr>
                <w:rFonts w:hint="eastAsia" w:ascii="仿宋_GB2312" w:hAnsi="Arial" w:eastAsia="仿宋_GB2312" w:cs="Arial"/>
                <w:sz w:val="30"/>
                <w:szCs w:val="30"/>
              </w:rPr>
              <w:t>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424" w:type="dxa"/>
            <w:vAlign w:val="center"/>
          </w:tcPr>
          <w:p>
            <w:pPr>
              <w:adjustRightInd/>
              <w:snapToGrid/>
              <w:spacing w:after="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担架员</w:t>
            </w:r>
          </w:p>
        </w:tc>
        <w:tc>
          <w:tcPr>
            <w:tcW w:w="1424" w:type="dxa"/>
            <w:vAlign w:val="center"/>
          </w:tcPr>
          <w:p>
            <w:pPr>
              <w:adjustRightInd/>
              <w:snapToGrid/>
              <w:spacing w:after="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1850" w:type="dxa"/>
            <w:vAlign w:val="center"/>
          </w:tcPr>
          <w:p>
            <w:pPr>
              <w:adjustRightInd/>
              <w:snapToGrid/>
              <w:spacing w:after="0"/>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不限</w:t>
            </w:r>
          </w:p>
        </w:tc>
        <w:tc>
          <w:tcPr>
            <w:tcW w:w="2706" w:type="dxa"/>
            <w:vAlign w:val="center"/>
          </w:tcPr>
          <w:p>
            <w:pPr>
              <w:adjustRightInd/>
              <w:snapToGrid/>
              <w:spacing w:after="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不限</w:t>
            </w:r>
          </w:p>
        </w:tc>
        <w:tc>
          <w:tcPr>
            <w:tcW w:w="1993" w:type="dxa"/>
            <w:vAlign w:val="center"/>
          </w:tcPr>
          <w:p>
            <w:pPr>
              <w:numPr>
                <w:ilvl w:val="0"/>
                <w:numId w:val="2"/>
              </w:numPr>
              <w:adjustRightInd/>
              <w:snapToGrid/>
              <w:spacing w:after="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从事急救搬抬转运病人等工作。</w:t>
            </w:r>
          </w:p>
          <w:p>
            <w:pPr>
              <w:numPr>
                <w:ilvl w:val="0"/>
                <w:numId w:val="2"/>
              </w:numPr>
              <w:adjustRightInd/>
              <w:snapToGrid/>
              <w:spacing w:after="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协助院前急救现场的初步急救处理。</w:t>
            </w:r>
          </w:p>
        </w:tc>
      </w:tr>
    </w:tbl>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黑体" w:hAnsi="黑体" w:eastAsia="黑体" w:cs="Arial"/>
          <w:color w:val="000000"/>
          <w:sz w:val="32"/>
          <w:szCs w:val="32"/>
        </w:rPr>
        <w:t>二、招聘范围和条件</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本次招聘在全国范围内面向社会人员，并具备以下条件：</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（一）驾驶员</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楷体_GB2312" w:eastAsia="楷体_GB2312"/>
          <w:sz w:val="32"/>
          <w:szCs w:val="32"/>
        </w:rPr>
        <w:t>1.</w:t>
      </w:r>
      <w:r>
        <w:rPr>
          <w:rFonts w:hint="eastAsia" w:ascii="仿宋_GB2312" w:hAnsi="ˎ̥" w:eastAsia="仿宋_GB2312" w:cs="Arial"/>
          <w:color w:val="000000"/>
          <w:sz w:val="32"/>
          <w:szCs w:val="32"/>
        </w:rPr>
        <w:t>参加报名者具有良好的政治思想素质，拥护党的路线、方针、政策，</w:t>
      </w:r>
      <w:r>
        <w:rPr>
          <w:rFonts w:ascii="仿宋_GB2312" w:hAnsi="ˎ̥" w:eastAsia="仿宋_GB2312" w:cs="Arial"/>
          <w:color w:val="000000"/>
          <w:sz w:val="32"/>
          <w:szCs w:val="32"/>
        </w:rPr>
        <w:t>有意为院前急救事业服务，退役军人同等条件下优先。</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2.持有C1驾照，年龄30周岁及以下（1990年8月19日及以后出生）；持有B2驾照及以上，年龄</w:t>
      </w:r>
      <w:r>
        <w:rPr>
          <w:rFonts w:ascii="仿宋_GB2312" w:hAnsi="ˎ̥" w:eastAsia="仿宋_GB2312" w:cs="Arial"/>
          <w:color w:val="000000"/>
          <w:sz w:val="32"/>
          <w:szCs w:val="32"/>
        </w:rPr>
        <w:t>可放宽至</w:t>
      </w:r>
      <w:r>
        <w:rPr>
          <w:rFonts w:hint="eastAsia" w:ascii="仿宋_GB2312" w:hAnsi="ˎ̥" w:eastAsia="仿宋_GB2312" w:cs="Arial"/>
          <w:color w:val="000000"/>
          <w:sz w:val="32"/>
          <w:szCs w:val="32"/>
        </w:rPr>
        <w:t>35周岁（1985年8月19日及以后出生）。</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3.服从单位工作安排，遵纪守法，品行端正</w:t>
      </w:r>
      <w:r>
        <w:rPr>
          <w:rFonts w:ascii="仿宋_GB2312" w:hAnsi="ˎ̥" w:eastAsia="仿宋_GB2312" w:cs="Arial"/>
          <w:color w:val="000000"/>
          <w:sz w:val="32"/>
          <w:szCs w:val="32"/>
        </w:rPr>
        <w:t>，吃苦耐劳，能适应</w:t>
      </w:r>
      <w:r>
        <w:rPr>
          <w:rFonts w:hint="eastAsia" w:ascii="仿宋_GB2312" w:hAnsi="ˎ̥" w:eastAsia="仿宋_GB2312" w:cs="Arial"/>
          <w:color w:val="000000"/>
          <w:sz w:val="32"/>
          <w:szCs w:val="32"/>
        </w:rPr>
        <w:t>夜班</w:t>
      </w:r>
      <w:r>
        <w:rPr>
          <w:rFonts w:ascii="仿宋_GB2312" w:hAnsi="ˎ̥" w:eastAsia="仿宋_GB2312" w:cs="Arial"/>
          <w:color w:val="000000"/>
          <w:sz w:val="32"/>
          <w:szCs w:val="32"/>
        </w:rPr>
        <w:t>倒班</w:t>
      </w:r>
      <w:r>
        <w:rPr>
          <w:rFonts w:hint="eastAsia" w:ascii="仿宋_GB2312" w:hAnsi="ˎ̥" w:eastAsia="仿宋_GB2312" w:cs="Arial"/>
          <w:color w:val="000000"/>
          <w:sz w:val="32"/>
          <w:szCs w:val="32"/>
        </w:rPr>
        <w:t>工作</w:t>
      </w:r>
      <w:r>
        <w:rPr>
          <w:rFonts w:ascii="仿宋_GB2312" w:hAnsi="ˎ̥" w:eastAsia="仿宋_GB2312" w:cs="Arial"/>
          <w:color w:val="000000"/>
          <w:sz w:val="32"/>
          <w:szCs w:val="32"/>
        </w:rPr>
        <w:t>，身心健康、无不良嗜好</w:t>
      </w:r>
      <w:r>
        <w:rPr>
          <w:rFonts w:hint="eastAsia" w:ascii="仿宋_GB2312" w:hAnsi="ˎ̥" w:eastAsia="仿宋_GB2312" w:cs="Arial"/>
          <w:color w:val="000000"/>
          <w:sz w:val="32"/>
          <w:szCs w:val="32"/>
        </w:rPr>
        <w:t>。</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楷体_GB2312" w:eastAsia="楷体_GB2312"/>
          <w:sz w:val="32"/>
          <w:szCs w:val="32"/>
        </w:rPr>
      </w:pPr>
      <w:r>
        <w:rPr>
          <w:rFonts w:hint="eastAsia" w:ascii="楷体_GB2312" w:eastAsia="楷体_GB2312"/>
          <w:sz w:val="32"/>
          <w:szCs w:val="32"/>
        </w:rPr>
        <w:t>（二）担架员</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eastAsia="仿宋_GB2312"/>
          <w:color w:val="000000"/>
          <w:sz w:val="32"/>
          <w:szCs w:val="32"/>
          <w:shd w:val="clear" w:color="auto" w:fill="FFFFFF"/>
        </w:rPr>
      </w:pPr>
      <w:r>
        <w:rPr>
          <w:rFonts w:hint="eastAsia" w:ascii="楷体_GB2312" w:eastAsia="楷体_GB2312"/>
          <w:sz w:val="32"/>
          <w:szCs w:val="32"/>
        </w:rPr>
        <w:t>1.</w:t>
      </w:r>
      <w:r>
        <w:rPr>
          <w:rFonts w:hint="eastAsia" w:ascii="仿宋_GB2312" w:eastAsia="仿宋_GB2312"/>
          <w:color w:val="000000"/>
          <w:sz w:val="32"/>
          <w:szCs w:val="32"/>
          <w:shd w:val="clear" w:color="auto" w:fill="FFFFFF"/>
        </w:rPr>
        <w:t>参加报名者具有良好的政治思想素质，拥护党的路线、方针、政策。</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highlight w:val="none"/>
          <w:shd w:val="clear" w:color="auto" w:fill="FFFFFF"/>
        </w:rPr>
        <w:t>2.年龄50周岁及以下（19</w:t>
      </w:r>
      <w:r>
        <w:rPr>
          <w:rFonts w:hint="eastAsia" w:ascii="仿宋_GB2312" w:eastAsia="仿宋_GB2312"/>
          <w:color w:val="000000"/>
          <w:sz w:val="32"/>
          <w:szCs w:val="32"/>
          <w:highlight w:val="none"/>
          <w:shd w:val="clear" w:color="auto" w:fill="FFFFFF"/>
          <w:lang w:val="en-US" w:eastAsia="zh-CN"/>
        </w:rPr>
        <w:t>70</w:t>
      </w:r>
      <w:r>
        <w:rPr>
          <w:rFonts w:hint="eastAsia" w:ascii="仿宋_GB2312" w:eastAsia="仿宋_GB2312"/>
          <w:color w:val="000000"/>
          <w:sz w:val="32"/>
          <w:szCs w:val="32"/>
          <w:highlight w:val="none"/>
          <w:shd w:val="clear" w:color="auto" w:fill="FFFFFF"/>
        </w:rPr>
        <w:t>年8月19日及以后出</w:t>
      </w:r>
      <w:r>
        <w:rPr>
          <w:rFonts w:hint="eastAsia" w:ascii="仿宋_GB2312" w:eastAsia="仿宋_GB2312"/>
          <w:color w:val="000000"/>
          <w:sz w:val="32"/>
          <w:szCs w:val="32"/>
          <w:shd w:val="clear" w:color="auto" w:fill="FFFFFF"/>
        </w:rPr>
        <w:t>生），身心健康，能适应夜班工作，适应搬抬病人等体力劳动。</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楷体_GB2312" w:eastAsia="楷体_GB2312"/>
          <w:sz w:val="32"/>
          <w:szCs w:val="32"/>
        </w:rPr>
      </w:pPr>
      <w:r>
        <w:rPr>
          <w:rFonts w:hint="eastAsia" w:ascii="仿宋_GB2312" w:eastAsia="仿宋_GB2312"/>
          <w:color w:val="000000"/>
          <w:sz w:val="32"/>
          <w:szCs w:val="32"/>
          <w:shd w:val="clear" w:color="auto" w:fill="FFFFFF"/>
        </w:rPr>
        <w:t>3.服从单位工作安排，遵纪守法，品行端正。</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黑体" w:hAnsi="黑体" w:eastAsia="黑体" w:cs="Arial"/>
          <w:color w:val="000000"/>
          <w:sz w:val="32"/>
          <w:szCs w:val="32"/>
        </w:rPr>
        <w:t>三、招聘程序和办法</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招聘工作贯彻公开、平等、竞争、择优的原则，按照发布招聘公告、报名（资格审查）、考试、体检、考察、公示、录用等程序进行。</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楷体_GB2312" w:cs="Arial"/>
          <w:color w:val="000000"/>
          <w:sz w:val="21"/>
          <w:szCs w:val="21"/>
        </w:rPr>
      </w:pPr>
      <w:r>
        <w:rPr>
          <w:rFonts w:hint="eastAsia" w:ascii="楷体_GB2312" w:hAnsi="ˎ̥" w:eastAsia="楷体_GB2312" w:cs="Arial"/>
          <w:color w:val="000000"/>
          <w:sz w:val="32"/>
          <w:szCs w:val="32"/>
        </w:rPr>
        <w:t>（一）报名及资格审查</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报名方式分现场报名和网上报名两种。</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1.现场报名。自发布公告之日起至8月19日（上午8:00—11:30，下午14:00—17:00，节假日、双休日除外），嘉兴市急救中心办公室（嘉兴市昌盛中路354号嘉兴市急救中心404办公室）。</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2.网上报名。自发布公告之日起至8月19日报名人员于规定报名时间内将报名材料扫描件和报名表电子稿发送至报名邮箱：2712530290@qq.com（文件名为“招聘+姓名”），并请在工作日电话和嘉兴市急救中心办公室确认（联系电话：0573-82723821），否则视作无效；相关报名材料在通知参加考试前提供原件及复印件各一套，所提供材料不全或材料审核不符合报名条件的不得参加考试。</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3.报名材料。</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（1）《2021年嘉兴市急救中心公开招聘编外合同制人员报名表》；</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（2）本人有效居民身份证、户口薄原件和复印件、学历证书原件和复印件、无犯罪记录证明（派出所提供）、驾驶证原件和复印件、机动车驾驶人安全驾驶信用情况（车管所提供）；</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报考人员应对自己所提供材料的真实性、准确性负责，如因所提供材料及填写内容不真实、不准确、不全面而影响面试或录用的，由本人负责。经资格审查合格后方可参加考试。</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楷体_GB2312" w:hAnsi="ˎ̥" w:eastAsia="楷体_GB2312" w:cs="Arial"/>
          <w:color w:val="000000"/>
          <w:sz w:val="32"/>
          <w:szCs w:val="32"/>
        </w:rPr>
        <w:t>（二）考试</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驾驶员岗位采用笔试、驾驶技能操作与面试相结合方式。</w:t>
      </w:r>
      <w:r>
        <w:rPr>
          <w:rFonts w:hint="eastAsia" w:ascii="仿宋_GB2312" w:eastAsia="仿宋_GB2312"/>
          <w:color w:val="000000"/>
          <w:sz w:val="32"/>
          <w:szCs w:val="32"/>
          <w:shd w:val="clear" w:color="auto" w:fill="FFFFFF"/>
        </w:rPr>
        <w:t>担架员岗位采用直接面试方式。</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1.笔试</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驾驶员笔试采取百分制，笔试主要内容为道路交通法规。</w:t>
      </w:r>
    </w:p>
    <w:p>
      <w:pPr>
        <w:keepNext w:val="0"/>
        <w:keepLines w:val="0"/>
        <w:pageBreakBefore w:val="0"/>
        <w:widowControl/>
        <w:numPr>
          <w:ilvl w:val="255"/>
          <w:numId w:val="0"/>
        </w:numPr>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2.驾驶技能操作</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驾驶技能操作采取百分制，主要内容为120救护车操作的规范性、路况的应急处置能力等。</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3.面试</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面试采取百分制，主要内容为招聘岗位相关要求。</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ˎ̥" w:eastAsia="仿宋_GB2312" w:cs="Arial"/>
          <w:color w:val="000000"/>
          <w:sz w:val="32"/>
          <w:szCs w:val="32"/>
        </w:rPr>
      </w:pPr>
      <w:r>
        <w:rPr>
          <w:rFonts w:hint="eastAsia" w:ascii="仿宋_GB2312" w:hAnsi="ˎ̥" w:eastAsia="仿宋_GB2312" w:cs="Arial"/>
          <w:color w:val="000000"/>
          <w:sz w:val="32"/>
          <w:szCs w:val="32"/>
        </w:rPr>
        <w:t>笔试、驾驶技能操作、面试时间和地点另行通知，笔试、驾驶技能操作、面试对象不按规定的时间和地点参加笔试、驾驶技能操作、面试的，视作放弃。</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ˎ̥" w:eastAsia="仿宋_GB2312" w:cs="Arial"/>
          <w:color w:val="000000"/>
          <w:sz w:val="32"/>
          <w:szCs w:val="32"/>
        </w:rPr>
      </w:pPr>
      <w:r>
        <w:rPr>
          <w:rFonts w:hint="eastAsia" w:ascii="仿宋_GB2312" w:hAnsi="ˎ̥" w:eastAsia="仿宋_GB2312" w:cs="Arial"/>
          <w:color w:val="000000"/>
          <w:sz w:val="32"/>
          <w:szCs w:val="32"/>
        </w:rPr>
        <w:t>4.其他</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ˎ̥" w:eastAsia="仿宋_GB2312" w:cs="Arial"/>
          <w:color w:val="000000"/>
          <w:sz w:val="32"/>
          <w:szCs w:val="32"/>
          <w:highlight w:val="none"/>
        </w:rPr>
      </w:pPr>
      <w:r>
        <w:rPr>
          <w:rFonts w:hint="eastAsia" w:ascii="仿宋_GB2312" w:hAnsi="ˎ̥" w:eastAsia="仿宋_GB2312" w:cs="Arial"/>
          <w:color w:val="000000"/>
          <w:sz w:val="32"/>
          <w:szCs w:val="32"/>
        </w:rPr>
        <w:t>驾驶员总成绩=笔试成绩×30%+驾驶技能操作×40%+面</w:t>
      </w:r>
      <w:r>
        <w:rPr>
          <w:rFonts w:hint="eastAsia" w:ascii="仿宋_GB2312" w:hAnsi="ˎ̥" w:eastAsia="仿宋_GB2312" w:cs="Arial"/>
          <w:color w:val="000000"/>
          <w:sz w:val="32"/>
          <w:szCs w:val="32"/>
          <w:highlight w:val="none"/>
        </w:rPr>
        <w:t>试成绩×30%；担架</w:t>
      </w:r>
      <w:r>
        <w:rPr>
          <w:rFonts w:hint="eastAsia" w:ascii="仿宋_GB2312" w:hAnsi="ˎ̥" w:eastAsia="仿宋_GB2312" w:cs="Arial"/>
          <w:color w:val="000000"/>
          <w:sz w:val="32"/>
          <w:szCs w:val="32"/>
          <w:highlight w:val="none"/>
          <w:lang w:eastAsia="zh-CN"/>
        </w:rPr>
        <w:t>员</w:t>
      </w:r>
      <w:r>
        <w:rPr>
          <w:rFonts w:hint="eastAsia" w:ascii="仿宋_GB2312" w:hAnsi="ˎ̥" w:eastAsia="仿宋_GB2312" w:cs="Arial"/>
          <w:color w:val="000000"/>
          <w:sz w:val="32"/>
          <w:szCs w:val="32"/>
          <w:highlight w:val="none"/>
        </w:rPr>
        <w:t>总成绩=面试成绩</w:t>
      </w:r>
      <w:r>
        <w:rPr>
          <w:rFonts w:hint="eastAsia" w:ascii="仿宋_GB2312" w:hAnsi="ˎ̥" w:eastAsia="仿宋_GB2312" w:cs="Arial"/>
          <w:color w:val="000000"/>
          <w:sz w:val="32"/>
          <w:szCs w:val="32"/>
          <w:highlight w:val="none"/>
          <w:lang w:eastAsia="zh-CN"/>
        </w:rPr>
        <w:t>。</w:t>
      </w:r>
      <w:r>
        <w:rPr>
          <w:rFonts w:hint="eastAsia" w:ascii="仿宋_GB2312" w:hAnsi="ˎ̥" w:eastAsia="仿宋_GB2312" w:cs="Arial"/>
          <w:color w:val="000000"/>
          <w:sz w:val="32"/>
          <w:szCs w:val="32"/>
          <w:highlight w:val="none"/>
        </w:rPr>
        <w:t>总成绩保留2位小数。</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楷体_GB2312" w:hAnsi="ˎ̥" w:eastAsia="楷体_GB2312" w:cs="Arial"/>
          <w:color w:val="000000"/>
          <w:sz w:val="32"/>
          <w:szCs w:val="32"/>
        </w:rPr>
        <w:t>（三）体检</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根据考试总成绩从高分到低分按招聘岗位人数的1:1比例确定体检对象，笔试、驾驶技能操作、面试三项</w:t>
      </w:r>
      <w:r>
        <w:rPr>
          <w:rFonts w:ascii="仿宋_GB2312" w:hAnsi="ˎ̥" w:eastAsia="仿宋_GB2312" w:cs="Arial"/>
          <w:color w:val="000000"/>
          <w:sz w:val="32"/>
          <w:szCs w:val="32"/>
        </w:rPr>
        <w:t>成绩其中一项</w:t>
      </w:r>
      <w:r>
        <w:rPr>
          <w:rFonts w:hint="eastAsia" w:ascii="仿宋_GB2312" w:hAnsi="ˎ̥" w:eastAsia="仿宋_GB2312" w:cs="Arial"/>
          <w:color w:val="000000"/>
          <w:sz w:val="32"/>
          <w:szCs w:val="32"/>
        </w:rPr>
        <w:t>不合格者（低于60分），不列入体检。体检不合格或放弃的，</w:t>
      </w:r>
      <w:bookmarkStart w:id="0" w:name="_GoBack"/>
      <w:bookmarkEnd w:id="0"/>
      <w:r>
        <w:rPr>
          <w:rFonts w:hint="eastAsia" w:ascii="仿宋_GB2312" w:hAnsi="ˎ̥" w:eastAsia="仿宋_GB2312" w:cs="Arial"/>
          <w:color w:val="000000"/>
          <w:sz w:val="32"/>
          <w:szCs w:val="32"/>
        </w:rPr>
        <w:t>依次递补。体检费用由报考人员自理。报考人员不按规定的时间、地点参加体检，视作放弃。体检合格者确定为考察对象。</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楷体_GB2312" w:hAnsi="ˎ̥" w:eastAsia="楷体_GB2312" w:cs="Arial"/>
          <w:color w:val="000000"/>
          <w:sz w:val="32"/>
          <w:szCs w:val="32"/>
        </w:rPr>
        <w:t>（四）考察</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对体检合格的考察对象在规定时间内进行资格条件的复核和有无违纪、违法情况的确认，考察结果作为本次是否录用的依据。</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应聘人员在体检、考察环节出现不合格的或自愿放弃的，按招聘岗位考试总成绩从高分到低分依次递补，未参加考试人员不得递补。</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楷体_GB2312" w:hAnsi="ˎ̥" w:eastAsia="楷体_GB2312" w:cs="Arial"/>
          <w:color w:val="000000"/>
          <w:sz w:val="32"/>
          <w:szCs w:val="32"/>
        </w:rPr>
        <w:t>（五）公示</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经体检、考察均合格的人员，确定为拟录用人员，拟录用人员将在嘉兴市卫生健康委员会门户网站和嘉兴市急救中心网站公示7个工作日。公示期满，对拟录用人员没有异议或反映问题经查实不影响录用的，市急救中心按规定办理录用手续。</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楷体_GB2312" w:hAnsi="ˎ̥" w:eastAsia="楷体_GB2312" w:cs="Arial"/>
          <w:color w:val="000000"/>
          <w:sz w:val="32"/>
          <w:szCs w:val="32"/>
        </w:rPr>
        <w:t>（六）录用</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拟录用人员在规定时间内无正当理由逾期不报到的，取消录用资格，不再递补。</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市急救中心与拟录用人员签订劳动合同并办理相关录用手续。拟录用人员在办理报到前，须与原单位解除合同。</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黑体" w:hAnsi="黑体" w:eastAsia="黑体" w:cs="Arial"/>
          <w:color w:val="000000"/>
          <w:sz w:val="32"/>
          <w:szCs w:val="32"/>
        </w:rPr>
        <w:t>四、其他事项</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（一）</w:t>
      </w:r>
      <w:r>
        <w:rPr>
          <w:rFonts w:hint="eastAsia" w:ascii="仿宋_GB2312" w:hAnsi="ˎ̥" w:eastAsia="仿宋_GB2312" w:cs="Arial"/>
          <w:color w:val="000000"/>
          <w:sz w:val="32"/>
          <w:szCs w:val="32"/>
          <w:shd w:val="clear" w:color="auto" w:fill="FFFFFF"/>
        </w:rPr>
        <w:t>本次公开招聘工作由嘉兴市急救中心按有关规定组织实施，嘉兴市卫生健康委员会监督指导。</w:t>
      </w:r>
      <w:r>
        <w:rPr>
          <w:rFonts w:hint="eastAsia" w:ascii="仿宋_GB2312" w:hAnsi="ˎ̥" w:eastAsia="仿宋_GB2312" w:cs="Arial"/>
          <w:color w:val="000000"/>
          <w:sz w:val="32"/>
          <w:szCs w:val="32"/>
        </w:rPr>
        <w:t>对违纪违规行为的认定和处理，按照《事业单位公开招聘违纪违规行为处理规定》（人社部令第35号）执行。</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二）本公告未尽事宜，由嘉兴市急救中心按有关文件规定执行。与本次招聘相关事宜将发布在嘉兴市卫生健康委员会网站（http://wjw.jiaxing.gov.cn/）和嘉兴市急救中心网站（http://www.zjjx120.com），届时报名人员可到网上查询。</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咨询电话：0573-82723821、83679282；</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ˎ̥" w:eastAsia="仿宋_GB2312" w:cs="Arial"/>
          <w:color w:val="000000"/>
          <w:sz w:val="32"/>
          <w:szCs w:val="32"/>
        </w:rPr>
        <w:t>监督电话：0573-83676257。</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宋体" w:eastAsia="仿宋_GB2312" w:cs="Arial"/>
          <w:color w:val="000000"/>
          <w:sz w:val="32"/>
          <w:szCs w:val="32"/>
        </w:rPr>
      </w:pP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ˎ̥" w:hAnsi="ˎ̥" w:eastAsia="宋体" w:cs="Arial"/>
          <w:color w:val="000000"/>
          <w:sz w:val="21"/>
          <w:szCs w:val="21"/>
        </w:rPr>
      </w:pPr>
      <w:r>
        <w:rPr>
          <w:rFonts w:hint="eastAsia" w:ascii="仿宋_GB2312" w:hAnsi="宋体" w:eastAsia="仿宋_GB2312" w:cs="Arial"/>
          <w:color w:val="000000"/>
          <w:sz w:val="32"/>
          <w:szCs w:val="32"/>
        </w:rPr>
        <w:t>附件：《</w:t>
      </w:r>
      <w:r>
        <w:rPr>
          <w:rFonts w:hint="eastAsia" w:ascii="仿宋_GB2312" w:hAnsi="ˎ̥" w:eastAsia="仿宋_GB2312" w:cs="Arial"/>
          <w:color w:val="000000"/>
          <w:sz w:val="32"/>
          <w:szCs w:val="32"/>
        </w:rPr>
        <w:t>2021</w:t>
      </w:r>
      <w:r>
        <w:rPr>
          <w:rFonts w:hint="eastAsia" w:ascii="仿宋_GB2312" w:hAnsi="宋体" w:eastAsia="仿宋_GB2312" w:cs="Arial"/>
          <w:color w:val="000000"/>
          <w:sz w:val="32"/>
          <w:szCs w:val="32"/>
        </w:rPr>
        <w:t>年嘉兴市急救中心公开招聘编外合同制人员报名表》</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right"/>
        <w:textAlignment w:val="auto"/>
        <w:rPr>
          <w:rFonts w:ascii="仿宋_GB2312" w:hAnsi="ˎ̥" w:eastAsia="仿宋_GB2312" w:cs="Arial"/>
          <w:color w:val="000000"/>
          <w:sz w:val="32"/>
          <w:szCs w:val="32"/>
        </w:rPr>
      </w:pP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right"/>
        <w:textAlignment w:val="auto"/>
        <w:rPr>
          <w:rFonts w:ascii="仿宋_GB2312" w:hAnsi="ˎ̥" w:eastAsia="仿宋_GB2312" w:cs="Arial"/>
          <w:color w:val="000000"/>
          <w:sz w:val="32"/>
          <w:szCs w:val="32"/>
        </w:rPr>
      </w:pP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center"/>
        <w:textAlignment w:val="auto"/>
        <w:rPr>
          <w:rFonts w:ascii="ˎ̥" w:hAnsi="ˎ̥" w:eastAsia="宋体" w:cs="Arial"/>
          <w:color w:val="000000"/>
          <w:sz w:val="21"/>
          <w:szCs w:val="21"/>
        </w:rPr>
      </w:pPr>
      <w:r>
        <w:rPr>
          <w:rFonts w:hint="eastAsia" w:ascii="仿宋_GB2312" w:hAnsi="ˎ̥" w:eastAsia="仿宋_GB2312" w:cs="Arial"/>
          <w:color w:val="000000"/>
          <w:sz w:val="32"/>
          <w:szCs w:val="32"/>
        </w:rPr>
        <w:t xml:space="preserve">                                嘉兴市急救中心</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right"/>
        <w:textAlignment w:val="auto"/>
        <w:rPr>
          <w:rFonts w:ascii="仿宋_GB2312" w:hAnsi="ˎ̥" w:eastAsia="仿宋_GB2312" w:cs="Arial"/>
          <w:color w:val="000000"/>
          <w:sz w:val="32"/>
          <w:szCs w:val="32"/>
        </w:rPr>
      </w:pPr>
      <w:r>
        <w:rPr>
          <w:rFonts w:hint="eastAsia" w:ascii="仿宋_GB2312" w:hAnsi="ˎ̥" w:eastAsia="仿宋_GB2312" w:cs="Arial"/>
          <w:color w:val="000000"/>
          <w:sz w:val="32"/>
          <w:szCs w:val="32"/>
        </w:rPr>
        <w:t>2021年8月9日</w:t>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w:t>
      </w:r>
    </w:p>
    <w:p>
      <w:pPr>
        <w:spacing w:after="0" w:line="560" w:lineRule="exact"/>
        <w:jc w:val="center"/>
        <w:rPr>
          <w:rFonts w:ascii="方正小标宋简体" w:hAnsi="宋体" w:eastAsia="方正小标宋简体"/>
          <w:b/>
          <w:sz w:val="32"/>
          <w:szCs w:val="36"/>
        </w:rPr>
      </w:pPr>
      <w:r>
        <w:rPr>
          <w:rFonts w:hint="eastAsia" w:ascii="方正小标宋简体" w:hAnsi="宋体" w:eastAsia="方正小标宋简体" w:cs="宋体"/>
          <w:b/>
          <w:sz w:val="32"/>
          <w:szCs w:val="36"/>
        </w:rPr>
        <w:t>2021年</w:t>
      </w:r>
      <w:r>
        <w:fldChar w:fldCharType="begin"/>
      </w:r>
      <w:r>
        <w:instrText xml:space="preserve"> HYPERLINK "http://www.jxwsj.gov.cn/downloadfile.jsp" </w:instrText>
      </w:r>
      <w:r>
        <w:fldChar w:fldCharType="separate"/>
      </w:r>
      <w:r>
        <w:rPr>
          <w:rFonts w:hint="eastAsia" w:ascii="方正小标宋简体" w:hAnsi="宋体" w:eastAsia="方正小标宋简体"/>
          <w:b/>
          <w:sz w:val="32"/>
          <w:szCs w:val="36"/>
        </w:rPr>
        <w:t>嘉兴市急救中心公开招聘编外合同制人员报名表</w:t>
      </w:r>
      <w:r>
        <w:rPr>
          <w:rFonts w:hint="eastAsia" w:ascii="方正小标宋简体" w:hAnsi="宋体" w:eastAsia="方正小标宋简体"/>
          <w:b/>
          <w:sz w:val="32"/>
          <w:szCs w:val="36"/>
        </w:rPr>
        <w:fldChar w:fldCharType="end"/>
      </w:r>
    </w:p>
    <w:p>
      <w:pPr>
        <w:spacing w:after="0"/>
        <w:rPr>
          <w:rFonts w:cs="宋体" w:asciiTheme="minorEastAsia" w:hAnsiTheme="minorEastAsia" w:eastAsiaTheme="minorEastAsia"/>
          <w:sz w:val="28"/>
          <w:szCs w:val="28"/>
        </w:rPr>
      </w:pPr>
      <w:r>
        <w:rPr>
          <w:rFonts w:hint="eastAsia" w:asciiTheme="minorEastAsia" w:hAnsiTheme="minorEastAsia" w:eastAsiaTheme="minorEastAsia"/>
          <w:bCs/>
          <w:color w:val="000000"/>
          <w:sz w:val="28"/>
          <w:szCs w:val="28"/>
        </w:rPr>
        <w:t xml:space="preserve">应聘专业：                                     </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99"/>
        <w:gridCol w:w="111"/>
        <w:gridCol w:w="361"/>
        <w:gridCol w:w="738"/>
        <w:gridCol w:w="622"/>
        <w:gridCol w:w="654"/>
        <w:gridCol w:w="228"/>
        <w:gridCol w:w="1048"/>
        <w:gridCol w:w="992"/>
        <w:gridCol w:w="567"/>
        <w:gridCol w:w="425"/>
        <w:gridCol w:w="709"/>
        <w:gridCol w:w="323"/>
        <w:gridCol w:w="1371"/>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5" w:hRule="atLeast"/>
        </w:trPr>
        <w:tc>
          <w:tcPr>
            <w:tcW w:w="1071" w:type="dxa"/>
            <w:gridSpan w:val="3"/>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姓 名</w:t>
            </w:r>
          </w:p>
        </w:tc>
        <w:tc>
          <w:tcPr>
            <w:tcW w:w="1360"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882"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性 别</w:t>
            </w:r>
          </w:p>
        </w:tc>
        <w:tc>
          <w:tcPr>
            <w:tcW w:w="1048" w:type="dxa"/>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1559"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出生年月</w:t>
            </w:r>
          </w:p>
        </w:tc>
        <w:tc>
          <w:tcPr>
            <w:tcW w:w="1457" w:type="dxa"/>
            <w:gridSpan w:val="3"/>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1371" w:type="dxa"/>
            <w:vMerge w:val="restart"/>
            <w:tcBorders>
              <w:lef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09" w:hRule="atLeast"/>
        </w:trPr>
        <w:tc>
          <w:tcPr>
            <w:tcW w:w="1071" w:type="dxa"/>
            <w:gridSpan w:val="3"/>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民 族</w:t>
            </w:r>
          </w:p>
        </w:tc>
        <w:tc>
          <w:tcPr>
            <w:tcW w:w="1360"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882"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籍 贯</w:t>
            </w:r>
          </w:p>
        </w:tc>
        <w:tc>
          <w:tcPr>
            <w:tcW w:w="1048" w:type="dxa"/>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1559"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婚姻状况</w:t>
            </w:r>
          </w:p>
        </w:tc>
        <w:tc>
          <w:tcPr>
            <w:tcW w:w="1457" w:type="dxa"/>
            <w:gridSpan w:val="3"/>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1371" w:type="dxa"/>
            <w:vMerge w:val="continue"/>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23" w:hRule="atLeast"/>
        </w:trPr>
        <w:tc>
          <w:tcPr>
            <w:tcW w:w="1809" w:type="dxa"/>
            <w:gridSpan w:val="4"/>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身份证号码</w:t>
            </w:r>
          </w:p>
        </w:tc>
        <w:tc>
          <w:tcPr>
            <w:tcW w:w="5568" w:type="dxa"/>
            <w:gridSpan w:val="9"/>
            <w:tcBorders>
              <w:left w:val="single" w:color="auto" w:sz="4" w:space="0"/>
            </w:tcBorders>
            <w:vAlign w:val="center"/>
          </w:tcPr>
          <w:p>
            <w:pPr>
              <w:spacing w:after="0"/>
              <w:jc w:val="center"/>
              <w:rPr>
                <w:rFonts w:cs="宋体" w:asciiTheme="minorEastAsia" w:hAnsiTheme="minorEastAsia" w:eastAsiaTheme="minorEastAsia"/>
              </w:rPr>
            </w:pPr>
          </w:p>
        </w:tc>
        <w:tc>
          <w:tcPr>
            <w:tcW w:w="1371" w:type="dxa"/>
            <w:vMerge w:val="continue"/>
            <w:tcBorders>
              <w:left w:val="single" w:color="auto" w:sz="4" w:space="0"/>
            </w:tcBorders>
            <w:vAlign w:val="center"/>
          </w:tcPr>
          <w:p>
            <w:pPr>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59" w:hRule="atLeast"/>
        </w:trPr>
        <w:tc>
          <w:tcPr>
            <w:tcW w:w="1809" w:type="dxa"/>
            <w:gridSpan w:val="4"/>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职称</w:t>
            </w:r>
          </w:p>
        </w:tc>
        <w:tc>
          <w:tcPr>
            <w:tcW w:w="1276" w:type="dxa"/>
            <w:gridSpan w:val="2"/>
            <w:tcBorders>
              <w:right w:val="single" w:color="auto" w:sz="4" w:space="0"/>
            </w:tcBorders>
            <w:vAlign w:val="center"/>
          </w:tcPr>
          <w:p>
            <w:pPr>
              <w:topLinePunct/>
              <w:spacing w:after="0"/>
              <w:jc w:val="center"/>
              <w:rPr>
                <w:rFonts w:cs="宋体" w:asciiTheme="minorEastAsia" w:hAnsiTheme="minorEastAsia" w:eastAsiaTheme="minorEastAsia"/>
              </w:rPr>
            </w:pPr>
          </w:p>
        </w:tc>
        <w:tc>
          <w:tcPr>
            <w:tcW w:w="1276" w:type="dxa"/>
            <w:gridSpan w:val="2"/>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政治面貌</w:t>
            </w:r>
          </w:p>
        </w:tc>
        <w:tc>
          <w:tcPr>
            <w:tcW w:w="1559" w:type="dxa"/>
            <w:gridSpan w:val="2"/>
            <w:tcBorders>
              <w:right w:val="single" w:color="auto" w:sz="4" w:space="0"/>
            </w:tcBorders>
            <w:vAlign w:val="center"/>
          </w:tcPr>
          <w:p>
            <w:pPr>
              <w:topLinePunct/>
              <w:spacing w:after="0"/>
              <w:jc w:val="center"/>
              <w:rPr>
                <w:rFonts w:cs="宋体" w:asciiTheme="minorEastAsia" w:hAnsiTheme="minorEastAsia" w:eastAsiaTheme="minorEastAsia"/>
              </w:rPr>
            </w:pPr>
          </w:p>
        </w:tc>
        <w:tc>
          <w:tcPr>
            <w:tcW w:w="1134"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学历</w:t>
            </w:r>
          </w:p>
        </w:tc>
        <w:tc>
          <w:tcPr>
            <w:tcW w:w="1694" w:type="dxa"/>
            <w:gridSpan w:val="2"/>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51" w:hRule="atLeast"/>
        </w:trPr>
        <w:tc>
          <w:tcPr>
            <w:tcW w:w="1809" w:type="dxa"/>
            <w:gridSpan w:val="4"/>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职称及取得时间</w:t>
            </w:r>
          </w:p>
        </w:tc>
        <w:tc>
          <w:tcPr>
            <w:tcW w:w="1276" w:type="dxa"/>
            <w:gridSpan w:val="2"/>
            <w:tcBorders>
              <w:right w:val="single" w:color="auto" w:sz="4" w:space="0"/>
            </w:tcBorders>
            <w:vAlign w:val="center"/>
          </w:tcPr>
          <w:p>
            <w:pPr>
              <w:topLinePunct/>
              <w:spacing w:after="0"/>
              <w:jc w:val="center"/>
              <w:rPr>
                <w:rFonts w:cs="宋体" w:asciiTheme="minorEastAsia" w:hAnsiTheme="minorEastAsia" w:eastAsiaTheme="minorEastAsia"/>
              </w:rPr>
            </w:pPr>
          </w:p>
        </w:tc>
        <w:tc>
          <w:tcPr>
            <w:tcW w:w="1276" w:type="dxa"/>
            <w:gridSpan w:val="2"/>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加入组织时间</w:t>
            </w:r>
          </w:p>
        </w:tc>
        <w:tc>
          <w:tcPr>
            <w:tcW w:w="1559" w:type="dxa"/>
            <w:gridSpan w:val="2"/>
            <w:tcBorders>
              <w:right w:val="single" w:color="auto" w:sz="4" w:space="0"/>
            </w:tcBorders>
            <w:vAlign w:val="center"/>
          </w:tcPr>
          <w:p>
            <w:pPr>
              <w:topLinePunct/>
              <w:spacing w:after="0"/>
              <w:jc w:val="center"/>
              <w:rPr>
                <w:rFonts w:cs="宋体" w:asciiTheme="minorEastAsia" w:hAnsiTheme="minorEastAsia" w:eastAsiaTheme="minorEastAsia"/>
              </w:rPr>
            </w:pPr>
          </w:p>
        </w:tc>
        <w:tc>
          <w:tcPr>
            <w:tcW w:w="1134"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健康状况</w:t>
            </w:r>
          </w:p>
        </w:tc>
        <w:tc>
          <w:tcPr>
            <w:tcW w:w="1694" w:type="dxa"/>
            <w:gridSpan w:val="2"/>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9" w:hRule="atLeast"/>
        </w:trPr>
        <w:tc>
          <w:tcPr>
            <w:tcW w:w="710" w:type="dxa"/>
            <w:gridSpan w:val="2"/>
            <w:vMerge w:val="restart"/>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学历学位</w:t>
            </w:r>
          </w:p>
        </w:tc>
        <w:tc>
          <w:tcPr>
            <w:tcW w:w="1099" w:type="dxa"/>
            <w:gridSpan w:val="2"/>
            <w:vAlign w:val="center"/>
          </w:tcPr>
          <w:p>
            <w:pPr>
              <w:spacing w:after="0"/>
              <w:jc w:val="center"/>
              <w:rPr>
                <w:rFonts w:cs="宋体" w:asciiTheme="minorEastAsia" w:hAnsiTheme="minorEastAsia" w:eastAsiaTheme="minorEastAsia"/>
              </w:rPr>
            </w:pPr>
            <w:r>
              <w:rPr>
                <w:rFonts w:hint="eastAsia" w:cs="宋体" w:asciiTheme="minorEastAsia" w:hAnsiTheme="minorEastAsia" w:eastAsiaTheme="minorEastAsia"/>
              </w:rPr>
              <w:t>全日制</w:t>
            </w:r>
          </w:p>
          <w:p>
            <w:pPr>
              <w:spacing w:after="0"/>
              <w:jc w:val="center"/>
              <w:rPr>
                <w:rFonts w:cs="宋体" w:asciiTheme="minorEastAsia" w:hAnsiTheme="minorEastAsia" w:eastAsiaTheme="minorEastAsia"/>
              </w:rPr>
            </w:pPr>
            <w:r>
              <w:rPr>
                <w:rFonts w:hint="eastAsia" w:cs="宋体" w:asciiTheme="minorEastAsia" w:hAnsiTheme="minorEastAsia" w:eastAsiaTheme="minorEastAsia"/>
              </w:rPr>
              <w:t>教育</w:t>
            </w:r>
          </w:p>
        </w:tc>
        <w:tc>
          <w:tcPr>
            <w:tcW w:w="1276" w:type="dxa"/>
            <w:gridSpan w:val="2"/>
            <w:tcBorders>
              <w:left w:val="single" w:color="auto" w:sz="4" w:space="0"/>
            </w:tcBorders>
            <w:vAlign w:val="center"/>
          </w:tcPr>
          <w:p>
            <w:pPr>
              <w:topLinePunct/>
              <w:spacing w:after="0"/>
              <w:jc w:val="center"/>
              <w:rPr>
                <w:rFonts w:cs="宋体" w:asciiTheme="minorEastAsia" w:hAnsiTheme="minorEastAsia" w:eastAsiaTheme="minorEastAsia"/>
              </w:rPr>
            </w:pPr>
          </w:p>
        </w:tc>
        <w:tc>
          <w:tcPr>
            <w:tcW w:w="2835" w:type="dxa"/>
            <w:gridSpan w:val="4"/>
            <w:tcBorders>
              <w:lef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毕业院校系及专业</w:t>
            </w:r>
          </w:p>
        </w:tc>
        <w:tc>
          <w:tcPr>
            <w:tcW w:w="2828" w:type="dxa"/>
            <w:gridSpan w:val="4"/>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5" w:hRule="atLeast"/>
        </w:trPr>
        <w:tc>
          <w:tcPr>
            <w:tcW w:w="710" w:type="dxa"/>
            <w:gridSpan w:val="2"/>
            <w:vMerge w:val="continue"/>
            <w:tcBorders>
              <w:right w:val="single" w:color="auto" w:sz="4" w:space="0"/>
            </w:tcBorders>
            <w:vAlign w:val="center"/>
          </w:tcPr>
          <w:p>
            <w:pPr>
              <w:topLinePunct/>
              <w:spacing w:after="0"/>
              <w:jc w:val="center"/>
              <w:rPr>
                <w:rFonts w:cs="宋体" w:asciiTheme="minorEastAsia" w:hAnsiTheme="minorEastAsia" w:eastAsiaTheme="minorEastAsia"/>
              </w:rPr>
            </w:pPr>
          </w:p>
        </w:tc>
        <w:tc>
          <w:tcPr>
            <w:tcW w:w="1099" w:type="dxa"/>
            <w:gridSpan w:val="2"/>
            <w:vAlign w:val="center"/>
          </w:tcPr>
          <w:p>
            <w:pPr>
              <w:spacing w:after="0"/>
              <w:jc w:val="center"/>
              <w:rPr>
                <w:rFonts w:cs="宋体" w:asciiTheme="minorEastAsia" w:hAnsiTheme="minorEastAsia" w:eastAsiaTheme="minorEastAsia"/>
              </w:rPr>
            </w:pPr>
            <w:r>
              <w:rPr>
                <w:rFonts w:hint="eastAsia" w:cs="宋体" w:asciiTheme="minorEastAsia" w:hAnsiTheme="minorEastAsia" w:eastAsiaTheme="minorEastAsia"/>
              </w:rPr>
              <w:t>在职教育</w:t>
            </w:r>
          </w:p>
        </w:tc>
        <w:tc>
          <w:tcPr>
            <w:tcW w:w="1276" w:type="dxa"/>
            <w:gridSpan w:val="2"/>
            <w:tcBorders>
              <w:left w:val="single" w:color="auto" w:sz="4" w:space="0"/>
            </w:tcBorders>
            <w:vAlign w:val="center"/>
          </w:tcPr>
          <w:p>
            <w:pPr>
              <w:topLinePunct/>
              <w:spacing w:after="0"/>
              <w:jc w:val="center"/>
              <w:rPr>
                <w:rFonts w:cs="宋体" w:asciiTheme="minorEastAsia" w:hAnsiTheme="minorEastAsia" w:eastAsiaTheme="minorEastAsia"/>
              </w:rPr>
            </w:pPr>
          </w:p>
        </w:tc>
        <w:tc>
          <w:tcPr>
            <w:tcW w:w="2835" w:type="dxa"/>
            <w:gridSpan w:val="4"/>
            <w:tcBorders>
              <w:lef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毕业院校系及专业</w:t>
            </w:r>
          </w:p>
        </w:tc>
        <w:tc>
          <w:tcPr>
            <w:tcW w:w="2828" w:type="dxa"/>
            <w:gridSpan w:val="4"/>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69" w:hRule="atLeast"/>
        </w:trPr>
        <w:tc>
          <w:tcPr>
            <w:tcW w:w="1809" w:type="dxa"/>
            <w:gridSpan w:val="4"/>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现工作单位</w:t>
            </w:r>
          </w:p>
        </w:tc>
        <w:tc>
          <w:tcPr>
            <w:tcW w:w="6939" w:type="dxa"/>
            <w:gridSpan w:val="10"/>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7" w:hRule="atLeast"/>
        </w:trPr>
        <w:tc>
          <w:tcPr>
            <w:tcW w:w="1809" w:type="dxa"/>
            <w:gridSpan w:val="4"/>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通讯地址</w:t>
            </w:r>
          </w:p>
        </w:tc>
        <w:tc>
          <w:tcPr>
            <w:tcW w:w="3544" w:type="dxa"/>
            <w:gridSpan w:val="5"/>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p>
        </w:tc>
        <w:tc>
          <w:tcPr>
            <w:tcW w:w="992" w:type="dxa"/>
            <w:gridSpan w:val="2"/>
            <w:tcBorders>
              <w:left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手机</w:t>
            </w:r>
          </w:p>
        </w:tc>
        <w:tc>
          <w:tcPr>
            <w:tcW w:w="2403" w:type="dxa"/>
            <w:gridSpan w:val="3"/>
            <w:tcBorders>
              <w:left w:val="single" w:color="auto" w:sz="4" w:space="0"/>
            </w:tcBorders>
            <w:vAlign w:val="center"/>
          </w:tcPr>
          <w:p>
            <w:pPr>
              <w:topLinePunct/>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044" w:hRule="atLeast"/>
        </w:trPr>
        <w:tc>
          <w:tcPr>
            <w:tcW w:w="599" w:type="dxa"/>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学习 工作简历</w:t>
            </w:r>
          </w:p>
        </w:tc>
        <w:tc>
          <w:tcPr>
            <w:tcW w:w="8149" w:type="dxa"/>
            <w:gridSpan w:val="13"/>
            <w:tcBorders>
              <w:lef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（从高中阶段开始填写:包括时间、学校、专业、学历）</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759" w:hRule="atLeast"/>
        </w:trPr>
        <w:tc>
          <w:tcPr>
            <w:tcW w:w="599" w:type="dxa"/>
            <w:tcBorders>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兴趣爱好特长</w:t>
            </w:r>
          </w:p>
        </w:tc>
        <w:tc>
          <w:tcPr>
            <w:tcW w:w="8149" w:type="dxa"/>
            <w:gridSpan w:val="13"/>
            <w:tcBorders>
              <w:left w:val="single" w:color="auto" w:sz="4" w:space="0"/>
            </w:tcBorders>
            <w:vAlign w:val="center"/>
          </w:tcPr>
          <w:p>
            <w:pPr>
              <w:spacing w:after="0"/>
              <w:jc w:val="cente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622" w:hRule="atLeast"/>
        </w:trPr>
        <w:tc>
          <w:tcPr>
            <w:tcW w:w="599"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家庭成员</w:t>
            </w:r>
          </w:p>
        </w:tc>
        <w:tc>
          <w:tcPr>
            <w:tcW w:w="8149" w:type="dxa"/>
            <w:gridSpan w:val="13"/>
            <w:tcBorders>
              <w:top w:val="single" w:color="auto" w:sz="4" w:space="0"/>
              <w:left w:val="single" w:color="auto" w:sz="4" w:space="0"/>
              <w:bottom w:val="single" w:color="auto" w:sz="4" w:space="0"/>
              <w:right w:val="single" w:color="auto" w:sz="4" w:space="0"/>
            </w:tcBorders>
            <w:vAlign w:val="center"/>
          </w:tcPr>
          <w:p>
            <w:pPr>
              <w:topLinePunct/>
              <w:spacing w:after="0"/>
              <w:ind w:firstLine="110" w:firstLineChars="50"/>
              <w:jc w:val="center"/>
              <w:rPr>
                <w:rFonts w:cs="宋体" w:asciiTheme="minorEastAsia" w:hAnsiTheme="minorEastAsia" w:eastAsiaTheme="minorEastAsia"/>
              </w:rPr>
            </w:pPr>
            <w:r>
              <w:rPr>
                <w:rFonts w:hint="eastAsia" w:cs="宋体" w:asciiTheme="minorEastAsia" w:hAnsiTheme="minorEastAsia" w:eastAsiaTheme="minorEastAsia"/>
              </w:rPr>
              <w:t>（请填写家庭主要成员的姓名、性别、与本人关系、工作单位、联系电话等）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81" w:hRule="atLeast"/>
        </w:trPr>
        <w:tc>
          <w:tcPr>
            <w:tcW w:w="599"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rFonts w:cs="宋体" w:asciiTheme="minorEastAsia" w:hAnsiTheme="minorEastAsia" w:eastAsiaTheme="minorEastAsia"/>
              </w:rPr>
            </w:pPr>
            <w:r>
              <w:rPr>
                <w:rFonts w:hint="eastAsia" w:cs="宋体" w:asciiTheme="minorEastAsia" w:hAnsiTheme="minorEastAsia" w:eastAsiaTheme="minorEastAsia"/>
              </w:rPr>
              <w:t>个人承诺</w:t>
            </w:r>
          </w:p>
        </w:tc>
        <w:tc>
          <w:tcPr>
            <w:tcW w:w="8149" w:type="dxa"/>
            <w:gridSpan w:val="13"/>
            <w:tcBorders>
              <w:top w:val="single" w:color="auto" w:sz="4" w:space="0"/>
              <w:left w:val="single" w:color="auto" w:sz="4" w:space="0"/>
              <w:bottom w:val="single" w:color="auto" w:sz="4" w:space="0"/>
              <w:right w:val="single" w:color="auto" w:sz="4" w:space="0"/>
            </w:tcBorders>
            <w:vAlign w:val="center"/>
          </w:tcPr>
          <w:p>
            <w:pPr>
              <w:topLinePunct/>
              <w:spacing w:after="0"/>
              <w:rPr>
                <w:rFonts w:cs="宋体" w:asciiTheme="minorEastAsia" w:hAnsiTheme="minorEastAsia" w:eastAsiaTheme="minorEastAsia"/>
              </w:rPr>
            </w:pPr>
            <w:r>
              <w:rPr>
                <w:rFonts w:hint="eastAsia" w:cs="宋体" w:asciiTheme="minorEastAsia" w:hAnsiTheme="minorEastAsia" w:eastAsiaTheme="minorEastAsia"/>
              </w:rPr>
              <w:t>本人对上述所填内容的真实性负责。</w:t>
            </w:r>
          </w:p>
          <w:p>
            <w:pPr>
              <w:topLinePunct/>
              <w:spacing w:after="0"/>
              <w:ind w:firstLine="110" w:firstLineChars="50"/>
              <w:jc w:val="center"/>
              <w:rPr>
                <w:rFonts w:cs="宋体" w:asciiTheme="minorEastAsia" w:hAnsiTheme="minorEastAsia" w:eastAsiaTheme="minorEastAsia"/>
              </w:rPr>
            </w:pPr>
          </w:p>
          <w:p>
            <w:pPr>
              <w:topLinePunct/>
              <w:spacing w:after="0"/>
              <w:ind w:firstLine="110" w:firstLineChars="50"/>
              <w:jc w:val="center"/>
              <w:rPr>
                <w:rFonts w:cs="宋体" w:asciiTheme="minorEastAsia" w:hAnsiTheme="minorEastAsia" w:eastAsiaTheme="minorEastAsia"/>
              </w:rPr>
            </w:pPr>
          </w:p>
          <w:p>
            <w:pPr>
              <w:topLinePunct/>
              <w:spacing w:after="0"/>
              <w:ind w:firstLine="2200" w:firstLineChars="1000"/>
              <w:jc w:val="center"/>
              <w:rPr>
                <w:rFonts w:cs="宋体" w:asciiTheme="minorEastAsia" w:hAnsiTheme="minorEastAsia" w:eastAsiaTheme="minorEastAsia"/>
              </w:rPr>
            </w:pPr>
            <w:r>
              <w:rPr>
                <w:rFonts w:hint="eastAsia" w:cs="宋体" w:asciiTheme="minorEastAsia" w:hAnsiTheme="minorEastAsia" w:eastAsiaTheme="minorEastAsia"/>
              </w:rPr>
              <w:t>签名：                     填表时间：</w:t>
            </w:r>
          </w:p>
        </w:tc>
      </w:tr>
    </w:tbl>
    <w:p>
      <w:pPr>
        <w:spacing w:after="0" w:line="20" w:lineRule="exact"/>
      </w:pPr>
    </w:p>
    <w:p>
      <w:pPr>
        <w:spacing w:line="220" w:lineRule="atLeast"/>
      </w:pPr>
    </w:p>
    <w:sectPr>
      <w:pgSz w:w="11906" w:h="16838"/>
      <w:pgMar w:top="1134" w:right="1797" w:bottom="1134"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903D3"/>
    <w:multiLevelType w:val="singleLevel"/>
    <w:tmpl w:val="E48903D3"/>
    <w:lvl w:ilvl="0" w:tentative="0">
      <w:start w:val="1"/>
      <w:numFmt w:val="decimal"/>
      <w:lvlText w:val="%1."/>
      <w:lvlJc w:val="left"/>
      <w:pPr>
        <w:tabs>
          <w:tab w:val="left" w:pos="312"/>
        </w:tabs>
      </w:pPr>
    </w:lvl>
  </w:abstractNum>
  <w:abstractNum w:abstractNumId="1">
    <w:nsid w:val="204102C4"/>
    <w:multiLevelType w:val="multilevel"/>
    <w:tmpl w:val="204102C4"/>
    <w:lvl w:ilvl="0" w:tentative="0">
      <w:start w:val="1"/>
      <w:numFmt w:val="japaneseCounting"/>
      <w:lvlText w:val="%1、"/>
      <w:lvlJc w:val="left"/>
      <w:pPr>
        <w:ind w:left="1420" w:hanging="7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04D10"/>
    <w:rsid w:val="000053DF"/>
    <w:rsid w:val="00012400"/>
    <w:rsid w:val="00034194"/>
    <w:rsid w:val="00052E84"/>
    <w:rsid w:val="0005519E"/>
    <w:rsid w:val="000676BD"/>
    <w:rsid w:val="000773F9"/>
    <w:rsid w:val="00091C68"/>
    <w:rsid w:val="000D1ECB"/>
    <w:rsid w:val="000D74EC"/>
    <w:rsid w:val="000F7A26"/>
    <w:rsid w:val="001270C7"/>
    <w:rsid w:val="00167BB1"/>
    <w:rsid w:val="001B1577"/>
    <w:rsid w:val="00201C17"/>
    <w:rsid w:val="00212F79"/>
    <w:rsid w:val="00262B41"/>
    <w:rsid w:val="002A4F3D"/>
    <w:rsid w:val="002A7BC0"/>
    <w:rsid w:val="00320C84"/>
    <w:rsid w:val="00323B43"/>
    <w:rsid w:val="00336687"/>
    <w:rsid w:val="003506DE"/>
    <w:rsid w:val="00356950"/>
    <w:rsid w:val="00382E17"/>
    <w:rsid w:val="003953CE"/>
    <w:rsid w:val="003B76BB"/>
    <w:rsid w:val="003C0F49"/>
    <w:rsid w:val="003D37D8"/>
    <w:rsid w:val="004021F1"/>
    <w:rsid w:val="00411E29"/>
    <w:rsid w:val="00412AF5"/>
    <w:rsid w:val="00426133"/>
    <w:rsid w:val="00432A12"/>
    <w:rsid w:val="00433B95"/>
    <w:rsid w:val="004358AB"/>
    <w:rsid w:val="0049432B"/>
    <w:rsid w:val="00495CE9"/>
    <w:rsid w:val="004A14F6"/>
    <w:rsid w:val="004A3834"/>
    <w:rsid w:val="004D0B6A"/>
    <w:rsid w:val="004D11C1"/>
    <w:rsid w:val="004D6010"/>
    <w:rsid w:val="00503528"/>
    <w:rsid w:val="0053457F"/>
    <w:rsid w:val="00540C49"/>
    <w:rsid w:val="005430F5"/>
    <w:rsid w:val="005540BB"/>
    <w:rsid w:val="005602B7"/>
    <w:rsid w:val="005E1C9B"/>
    <w:rsid w:val="0060456A"/>
    <w:rsid w:val="006257DD"/>
    <w:rsid w:val="00630BA6"/>
    <w:rsid w:val="00667FD0"/>
    <w:rsid w:val="00691A5E"/>
    <w:rsid w:val="006E322B"/>
    <w:rsid w:val="006F7639"/>
    <w:rsid w:val="007252A0"/>
    <w:rsid w:val="0076145F"/>
    <w:rsid w:val="007A5E2F"/>
    <w:rsid w:val="007B6CB9"/>
    <w:rsid w:val="00817780"/>
    <w:rsid w:val="00830D2D"/>
    <w:rsid w:val="00881DB0"/>
    <w:rsid w:val="00884D87"/>
    <w:rsid w:val="00894CF4"/>
    <w:rsid w:val="008A7CB9"/>
    <w:rsid w:val="008B1CBE"/>
    <w:rsid w:val="008B5329"/>
    <w:rsid w:val="008B7726"/>
    <w:rsid w:val="009046EE"/>
    <w:rsid w:val="009337DF"/>
    <w:rsid w:val="009C6C83"/>
    <w:rsid w:val="009E48A6"/>
    <w:rsid w:val="00A240A2"/>
    <w:rsid w:val="00AB3E4A"/>
    <w:rsid w:val="00AC1921"/>
    <w:rsid w:val="00B0012D"/>
    <w:rsid w:val="00B544DE"/>
    <w:rsid w:val="00B77557"/>
    <w:rsid w:val="00B942CF"/>
    <w:rsid w:val="00B96034"/>
    <w:rsid w:val="00BB2694"/>
    <w:rsid w:val="00BD4AB5"/>
    <w:rsid w:val="00BE0225"/>
    <w:rsid w:val="00C25379"/>
    <w:rsid w:val="00C3410C"/>
    <w:rsid w:val="00C35CFF"/>
    <w:rsid w:val="00C559FE"/>
    <w:rsid w:val="00C655FF"/>
    <w:rsid w:val="00C724BC"/>
    <w:rsid w:val="00C7512C"/>
    <w:rsid w:val="00CA3C77"/>
    <w:rsid w:val="00CB1FE0"/>
    <w:rsid w:val="00CD49A0"/>
    <w:rsid w:val="00CE13D9"/>
    <w:rsid w:val="00CF3EDD"/>
    <w:rsid w:val="00D01476"/>
    <w:rsid w:val="00D030B4"/>
    <w:rsid w:val="00D15A60"/>
    <w:rsid w:val="00D31D50"/>
    <w:rsid w:val="00D33EC8"/>
    <w:rsid w:val="00D67D6A"/>
    <w:rsid w:val="00D7093D"/>
    <w:rsid w:val="00D864B6"/>
    <w:rsid w:val="00D92765"/>
    <w:rsid w:val="00D93AB2"/>
    <w:rsid w:val="00DB52AF"/>
    <w:rsid w:val="00DB7C47"/>
    <w:rsid w:val="00DC3D21"/>
    <w:rsid w:val="00DE3BFC"/>
    <w:rsid w:val="00E171BE"/>
    <w:rsid w:val="00E32E7D"/>
    <w:rsid w:val="00E67C39"/>
    <w:rsid w:val="00EA6A2B"/>
    <w:rsid w:val="00EC556A"/>
    <w:rsid w:val="00ED007A"/>
    <w:rsid w:val="00ED109D"/>
    <w:rsid w:val="00F01D56"/>
    <w:rsid w:val="00F02974"/>
    <w:rsid w:val="00F334D2"/>
    <w:rsid w:val="00F61B59"/>
    <w:rsid w:val="00F67B50"/>
    <w:rsid w:val="00FA2CC9"/>
    <w:rsid w:val="00FA34A7"/>
    <w:rsid w:val="00FF0D37"/>
    <w:rsid w:val="02A07941"/>
    <w:rsid w:val="039C622F"/>
    <w:rsid w:val="0874673F"/>
    <w:rsid w:val="08C649A9"/>
    <w:rsid w:val="09883B5C"/>
    <w:rsid w:val="0A5557D4"/>
    <w:rsid w:val="0ADF1DE1"/>
    <w:rsid w:val="0B3867C2"/>
    <w:rsid w:val="0BC32C45"/>
    <w:rsid w:val="0D2E5CD1"/>
    <w:rsid w:val="0E0C57B0"/>
    <w:rsid w:val="0E5470C1"/>
    <w:rsid w:val="15C468B7"/>
    <w:rsid w:val="163C0977"/>
    <w:rsid w:val="1652526F"/>
    <w:rsid w:val="179F18BB"/>
    <w:rsid w:val="181B1596"/>
    <w:rsid w:val="1A131B0E"/>
    <w:rsid w:val="1A6E4268"/>
    <w:rsid w:val="1D4E3EAF"/>
    <w:rsid w:val="1DA614C2"/>
    <w:rsid w:val="1ED836F8"/>
    <w:rsid w:val="1F656B1B"/>
    <w:rsid w:val="213E15BE"/>
    <w:rsid w:val="26DF5C0C"/>
    <w:rsid w:val="2ADA296F"/>
    <w:rsid w:val="2BE26BFD"/>
    <w:rsid w:val="2C4377E9"/>
    <w:rsid w:val="2CA915A2"/>
    <w:rsid w:val="2DCD3395"/>
    <w:rsid w:val="2E432BED"/>
    <w:rsid w:val="2F0D09D5"/>
    <w:rsid w:val="2F4F015C"/>
    <w:rsid w:val="31D371B6"/>
    <w:rsid w:val="358B1A65"/>
    <w:rsid w:val="3609670C"/>
    <w:rsid w:val="371063BB"/>
    <w:rsid w:val="38F024A8"/>
    <w:rsid w:val="39D844E8"/>
    <w:rsid w:val="3A17277D"/>
    <w:rsid w:val="3A1A282F"/>
    <w:rsid w:val="3BA314EC"/>
    <w:rsid w:val="3C5F6A3E"/>
    <w:rsid w:val="3CB405DA"/>
    <w:rsid w:val="40BD3670"/>
    <w:rsid w:val="4224251A"/>
    <w:rsid w:val="427C66F6"/>
    <w:rsid w:val="431F17A1"/>
    <w:rsid w:val="431F6B5C"/>
    <w:rsid w:val="448C7F5A"/>
    <w:rsid w:val="45BF55CC"/>
    <w:rsid w:val="4737099B"/>
    <w:rsid w:val="473C125A"/>
    <w:rsid w:val="476F3139"/>
    <w:rsid w:val="48921671"/>
    <w:rsid w:val="4A1D3C82"/>
    <w:rsid w:val="4A88005D"/>
    <w:rsid w:val="4BFF01E7"/>
    <w:rsid w:val="4C973815"/>
    <w:rsid w:val="4D4D105A"/>
    <w:rsid w:val="4FC8081A"/>
    <w:rsid w:val="542E3D60"/>
    <w:rsid w:val="57CC3C6C"/>
    <w:rsid w:val="5E203E92"/>
    <w:rsid w:val="5E7A7A3C"/>
    <w:rsid w:val="5E8B25B1"/>
    <w:rsid w:val="5F2E3F36"/>
    <w:rsid w:val="604304B6"/>
    <w:rsid w:val="63B80C8E"/>
    <w:rsid w:val="6444383E"/>
    <w:rsid w:val="64716439"/>
    <w:rsid w:val="662F6765"/>
    <w:rsid w:val="66E91BFC"/>
    <w:rsid w:val="68B13F1F"/>
    <w:rsid w:val="68CA6CEA"/>
    <w:rsid w:val="693E26F8"/>
    <w:rsid w:val="697E28EA"/>
    <w:rsid w:val="6A5224B2"/>
    <w:rsid w:val="6DCD772D"/>
    <w:rsid w:val="6DF2087C"/>
    <w:rsid w:val="70090F0C"/>
    <w:rsid w:val="757C78DE"/>
    <w:rsid w:val="75DE277F"/>
    <w:rsid w:val="75EC589E"/>
    <w:rsid w:val="761F6F5C"/>
    <w:rsid w:val="76875D6F"/>
    <w:rsid w:val="781B4D01"/>
    <w:rsid w:val="78E26DD0"/>
    <w:rsid w:val="7A1C1F0D"/>
    <w:rsid w:val="7AB8060E"/>
    <w:rsid w:val="7C864D2F"/>
    <w:rsid w:val="7CAA3A79"/>
    <w:rsid w:val="7DFA13AD"/>
    <w:rsid w:val="7EE76D5D"/>
    <w:rsid w:val="AFBDDFBC"/>
    <w:rsid w:val="FEFFB7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pPr>
    <w:rPr>
      <w:sz w:val="18"/>
      <w:szCs w:val="18"/>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407</Words>
  <Characters>2324</Characters>
  <Lines>19</Lines>
  <Paragraphs>5</Paragraphs>
  <TotalTime>1</TotalTime>
  <ScaleCrop>false</ScaleCrop>
  <LinksUpToDate>false</LinksUpToDate>
  <CharactersWithSpaces>2726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2021-08-05T00:27:00Z</dcterms:created>
  <dc:creator>liqr</dc:creator>
  <cp:lastModifiedBy>admin</cp:lastModifiedBy>
  <cp:lastPrinted>2021-08-09T09:27:23Z</cp:lastPrinted>
  <dcterms:modified xsi:type="dcterms:W3CDTF">2021-08-09T09:40:45Z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45B0BE071B5C4717A5CF572EF4EC6845</vt:lpwstr>
  </property>
</Properties>
</file>