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textAlignment w:val="bottom"/>
        <w:rPr>
          <w:rFonts w:ascii="Helvetica" w:hAnsi="Helvetica" w:eastAsia="Helvetica" w:cs="Helvetica"/>
          <w:i w:val="0"/>
          <w:caps w:val="0"/>
          <w:color w:val="929292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929292"/>
          <w:spacing w:val="0"/>
          <w:sz w:val="31"/>
          <w:szCs w:val="31"/>
          <w:bdr w:val="none" w:color="auto" w:sz="0" w:space="0"/>
          <w:shd w:val="clear" w:fill="FFFFFF"/>
        </w:rPr>
        <w:t>招聘岗位、范围和条件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31"/>
        <w:gridCol w:w="8666"/>
        <w:gridCol w:w="2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textAlignment w:val="bottom"/>
            </w:pPr>
            <w:bookmarkStart w:id="0" w:name="_GoBack"/>
            <w:r>
              <w:rPr>
                <w:rFonts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岗位</w:t>
            </w:r>
          </w:p>
        </w:tc>
        <w:tc>
          <w:tcPr>
            <w:tcW w:w="5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人数</w:t>
            </w:r>
          </w:p>
        </w:tc>
        <w:tc>
          <w:tcPr>
            <w:tcW w:w="305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基本要求</w:t>
            </w:r>
          </w:p>
        </w:tc>
        <w:tc>
          <w:tcPr>
            <w:tcW w:w="8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学历及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21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工作人员1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4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305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1.政治素质良好，拥护中国共产党的领导，拥护党的路线方针政策；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2.身体健康，遵纪守法，品行端正，具有良好的团队合作精神；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3.年龄在40周岁以下，性别不限；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4.需具有一定的文字功底，有较强的语言表达和沟通能力；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5.有新媒体岗位、群团工作经历、社区工作经历者优先。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全日制本科及以上学历，专业不限。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3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2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工作人员2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4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05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1.政治素质良好，拥护中国共产党的领导，拥护党的路线方针政策；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2.身体健康，遵纪守法，品行端正，具有良好的团队合作精神；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3.有财务工作经历或会计职称或会计上岗证优先；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4.年龄35周岁-40周岁，性别不限，为人正派，有责任心，能胜任文字工作；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5.熟练掌握计算机及财务软件操作。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ottom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929292"/>
                <w:spacing w:val="0"/>
                <w:sz w:val="31"/>
                <w:szCs w:val="31"/>
                <w:bdr w:val="none" w:color="auto" w:sz="0" w:space="0"/>
              </w:rPr>
              <w:t>大专及以上学历，会计相关专业。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3638"/>
    <w:rsid w:val="7E6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2021-08-11T03:17:00Z</dcterms:created>
  <dc:creator>Administrator</dc:creator>
  <cp:lastModifiedBy>Administrator</cp:lastModifiedBy>
  <dcterms:modified xsi:type="dcterms:W3CDTF">2021-08-11T06:26:01Z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