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方正黑体_GBK" w:eastAsia="方正黑体_GBK"/>
          <w:color w:val="222222"/>
          <w:sz w:val="32"/>
          <w:szCs w:val="32"/>
          <w:lang w:bidi="ar-SA"/>
        </w:rPr>
      </w:pPr>
      <w:r>
        <w:rPr>
          <w:rFonts w:hint="eastAsia" w:ascii="方正黑体_GBK" w:eastAsia="方正黑体_GBK"/>
          <w:color w:val="222222"/>
          <w:sz w:val="32"/>
          <w:szCs w:val="32"/>
          <w:lang w:bidi="ar-SA"/>
        </w:rPr>
        <w:t>附表1</w:t>
      </w:r>
    </w:p>
    <w:p>
      <w:pPr>
        <w:pStyle w:val="4"/>
        <w:spacing w:line="560" w:lineRule="exact"/>
        <w:jc w:val="center"/>
        <w:rPr>
          <w:rFonts w:hint="eastAsia" w:ascii="方正小标宋_GBK" w:eastAsia="方正小标宋_GBK"/>
          <w:b/>
          <w:bCs/>
          <w:color w:val="222222"/>
          <w:sz w:val="32"/>
          <w:szCs w:val="32"/>
          <w:lang w:bidi="ar-SA"/>
        </w:rPr>
      </w:pPr>
      <w:bookmarkStart w:id="0" w:name="_GoBack"/>
      <w:r>
        <w:rPr>
          <w:rFonts w:hint="eastAsia" w:ascii="方正小标宋_GBK" w:eastAsia="方正小标宋_GBK"/>
          <w:b/>
          <w:bCs/>
          <w:color w:val="222222"/>
          <w:sz w:val="32"/>
          <w:szCs w:val="32"/>
          <w:lang w:bidi="ar-SA"/>
        </w:rPr>
        <w:t>北京海关所属事业单位面向社会公开招聘工作人员职位表</w:t>
      </w:r>
      <w:bookmarkEnd w:id="0"/>
    </w:p>
    <w:p>
      <w:pPr>
        <w:pStyle w:val="5"/>
        <w:spacing w:line="560" w:lineRule="exact"/>
        <w:jc w:val="center"/>
        <w:rPr>
          <w:rFonts w:eastAsia="方正仿宋_GBK"/>
          <w:b/>
          <w:bCs/>
          <w:color w:val="222222"/>
          <w:sz w:val="32"/>
          <w:szCs w:val="32"/>
        </w:rPr>
      </w:pPr>
    </w:p>
    <w:tbl>
      <w:tblPr>
        <w:tblStyle w:val="2"/>
        <w:tblpPr w:leftFromText="180" w:rightFromText="180" w:vertAnchor="text" w:horzAnchor="page" w:tblpX="1376" w:tblpY="297"/>
        <w:tblOverlap w:val="never"/>
        <w:tblW w:w="142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998"/>
        <w:gridCol w:w="840"/>
        <w:gridCol w:w="1153"/>
        <w:gridCol w:w="734"/>
        <w:gridCol w:w="1258"/>
        <w:gridCol w:w="1049"/>
        <w:gridCol w:w="754"/>
        <w:gridCol w:w="4712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招录单位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招录人数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职位名称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职位代码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1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学位</w:t>
            </w:r>
          </w:p>
        </w:tc>
        <w:tc>
          <w:tcPr>
            <w:tcW w:w="4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招录对象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5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bidi="ar-SA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6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海关总署（北京）国际旅行卫生保健中心（北京海关口岸门诊部）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1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医学检验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001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医学检验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(101001)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临床检验诊断学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(100208 105 120)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本科及以上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学士及以上</w:t>
            </w:r>
          </w:p>
        </w:tc>
        <w:tc>
          <w:tcPr>
            <w:tcW w:w="4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4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40周岁以下（截至2021年8月31日）；卫生系列中级及以上职称；从事检验或相关专业5年以上，有从事ISO：15189体系建设经验者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-SA"/>
              </w:rPr>
              <w:t>同等条件下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-SA"/>
              </w:rPr>
              <w:t>优先。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5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-SA"/>
              </w:rPr>
              <w:t>必须取得相应学历和学位，最低服务期限为5年。</w:t>
            </w:r>
          </w:p>
        </w:tc>
      </w:tr>
    </w:tbl>
    <w:p>
      <w:pPr>
        <w:pStyle w:val="26"/>
      </w:pPr>
    </w:p>
    <w:p>
      <w:pPr>
        <w:pStyle w:val="4"/>
        <w:spacing w:line="560" w:lineRule="exact"/>
        <w:jc w:val="left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专业参考目录为教育部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2012年研究生招生学科、专业代码册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、《普通高等学校本科专业目录（2020年版）》。岗位学历学位要求为应聘人员已获得的最高学历和学位，岗位专业要求为应聘人员已获得的最高学历和学位的对应专业。对于专业接近但不在上述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参考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目录中的，应聘人员可与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联系确认是否符合岗位要求。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D32E9"/>
    <w:rsid w:val="6CED3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20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样式 23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样式 23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23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样式 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样式 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样式 23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样式 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23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样式 24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样式 24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样式 24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样式 25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样式 25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样式 25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样式 25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样式 24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样式 24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样式 24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样式 24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 24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样式 24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样式 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2021-09-18T02:38:00Z</dcterms:created>
  <dc:creator>user</dc:creator>
  <cp:lastModifiedBy>user</cp:lastModifiedBy>
  <dcterms:modified xsi:type="dcterms:W3CDTF">2021-09-18T02:42:33Z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