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丽水市交通运输综合行政执法队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-SA"/>
        </w:rPr>
        <w:t>招录执法辅助人员体能测试项目及标准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-SA"/>
        </w:rPr>
        <w:t>（部分参考2021国家综合性消防救援队伍消防员体能测试标准）</w:t>
      </w:r>
    </w:p>
    <w:tbl>
      <w:tblPr>
        <w:tblStyle w:val="5"/>
        <w:tblW w:w="15414" w:type="dxa"/>
        <w:tblInd w:w="-476" w:type="dxa"/>
        <w:tblBorders>
          <w:top w:val="single" w:color="E6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491"/>
        <w:gridCol w:w="15"/>
        <w:gridCol w:w="1080"/>
        <w:gridCol w:w="305"/>
        <w:gridCol w:w="919"/>
        <w:gridCol w:w="11"/>
        <w:gridCol w:w="442"/>
        <w:gridCol w:w="13"/>
        <w:gridCol w:w="961"/>
        <w:gridCol w:w="13"/>
        <w:gridCol w:w="399"/>
        <w:gridCol w:w="12"/>
        <w:gridCol w:w="992"/>
        <w:gridCol w:w="7"/>
        <w:gridCol w:w="375"/>
        <w:gridCol w:w="11"/>
        <w:gridCol w:w="1009"/>
        <w:gridCol w:w="14"/>
        <w:gridCol w:w="352"/>
        <w:gridCol w:w="10"/>
        <w:gridCol w:w="1049"/>
        <w:gridCol w:w="5"/>
        <w:gridCol w:w="322"/>
        <w:gridCol w:w="9"/>
        <w:gridCol w:w="1085"/>
        <w:gridCol w:w="19"/>
        <w:gridCol w:w="273"/>
        <w:gridCol w:w="8"/>
        <w:gridCol w:w="1114"/>
        <w:gridCol w:w="3"/>
        <w:gridCol w:w="261"/>
        <w:gridCol w:w="7"/>
        <w:gridCol w:w="1149"/>
        <w:gridCol w:w="5"/>
        <w:gridCol w:w="225"/>
        <w:gridCol w:w="6"/>
        <w:gridCol w:w="1389"/>
        <w:gridCol w:w="45"/>
      </w:tblGrid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491" w:type="dxa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3869" w:type="dxa"/>
            <w:gridSpan w:val="3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491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1分</w:t>
            </w:r>
          </w:p>
        </w:tc>
        <w:tc>
          <w:tcPr>
            <w:tcW w:w="1677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3分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4分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6分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9分</w:t>
            </w:r>
          </w:p>
        </w:tc>
        <w:tc>
          <w:tcPr>
            <w:tcW w:w="1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491" w:type="dxa"/>
            <w:vMerge w:val="restart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项目一：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纵跳摸高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（厘米）</w:t>
            </w:r>
          </w:p>
        </w:tc>
        <w:tc>
          <w:tcPr>
            <w:tcW w:w="10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1677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273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276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279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282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285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288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291</w:t>
            </w:r>
          </w:p>
        </w:tc>
        <w:tc>
          <w:tcPr>
            <w:tcW w:w="138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294</w:t>
            </w:r>
          </w:p>
        </w:tc>
        <w:tc>
          <w:tcPr>
            <w:tcW w:w="139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297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491" w:type="dxa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3869" w:type="dxa"/>
            <w:gridSpan w:val="3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按编号顺序进行测试。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准备测试阶段，受测者双脚自然分开，呈站立姿势。接到指令后，受测者屈腿半蹲，双臂尽力后摆，然后向前上方快速摆臂，双腿同时发力，尽力垂直向上起跳，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起跳时，受测者双腿不能移动或有垫步动作,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同时单手举起触摸固定的高度线或者自动摸高器的测试条，测试不超过两次，取两次中最好成绩。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3.受测者指甲不得超过指尖0.3厘米，徒手触摸，不得带手套等其他物品;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4.受测者统一采用赤脚(可穿袜子)起跳。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5.得分超出10分的。每递增2厘米增加1分，本项最高15分。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15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项目二：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立定跳远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（厘米）</w:t>
            </w: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1分</w:t>
            </w:r>
          </w:p>
        </w:tc>
        <w:tc>
          <w:tcPr>
            <w:tcW w:w="123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2分</w:t>
            </w:r>
          </w:p>
        </w:tc>
        <w:tc>
          <w:tcPr>
            <w:tcW w:w="141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3分</w:t>
            </w:r>
          </w:p>
        </w:tc>
        <w:tc>
          <w:tcPr>
            <w:tcW w:w="141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4分</w:t>
            </w:r>
          </w:p>
        </w:tc>
        <w:tc>
          <w:tcPr>
            <w:tcW w:w="141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141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6分</w:t>
            </w:r>
          </w:p>
        </w:tc>
        <w:tc>
          <w:tcPr>
            <w:tcW w:w="141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1417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1417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9分</w:t>
            </w:r>
          </w:p>
        </w:tc>
        <w:tc>
          <w:tcPr>
            <w:tcW w:w="167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15" w:type="dxa"/>
            <w:gridSpan w:val="3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224</w:t>
            </w:r>
          </w:p>
        </w:tc>
        <w:tc>
          <w:tcPr>
            <w:tcW w:w="123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228</w:t>
            </w:r>
          </w:p>
        </w:tc>
        <w:tc>
          <w:tcPr>
            <w:tcW w:w="141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232</w:t>
            </w:r>
          </w:p>
        </w:tc>
        <w:tc>
          <w:tcPr>
            <w:tcW w:w="141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236</w:t>
            </w:r>
          </w:p>
        </w:tc>
        <w:tc>
          <w:tcPr>
            <w:tcW w:w="141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141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244</w:t>
            </w:r>
          </w:p>
        </w:tc>
        <w:tc>
          <w:tcPr>
            <w:tcW w:w="141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248</w:t>
            </w:r>
          </w:p>
        </w:tc>
        <w:tc>
          <w:tcPr>
            <w:tcW w:w="1417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252</w:t>
            </w:r>
          </w:p>
        </w:tc>
        <w:tc>
          <w:tcPr>
            <w:tcW w:w="1417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256</w:t>
            </w:r>
          </w:p>
        </w:tc>
        <w:tc>
          <w:tcPr>
            <w:tcW w:w="167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15" w:type="dxa"/>
            <w:gridSpan w:val="3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3899" w:type="dxa"/>
            <w:gridSpan w:val="3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单个或分组考核。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一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3.得分超出10分的，每递增4厘米增加1分，本项最高15分。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450" w:hRule="atLeast"/>
        </w:trPr>
        <w:tc>
          <w:tcPr>
            <w:tcW w:w="1506" w:type="dxa"/>
            <w:gridSpan w:val="2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项目三：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10米x4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往返跑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（秒）</w:t>
            </w: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1分</w:t>
            </w:r>
          </w:p>
        </w:tc>
        <w:tc>
          <w:tcPr>
            <w:tcW w:w="122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2分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3分</w:t>
            </w:r>
          </w:p>
        </w:tc>
        <w:tc>
          <w:tcPr>
            <w:tcW w:w="141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4分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6分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142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9分</w:t>
            </w:r>
          </w:p>
        </w:tc>
        <w:tc>
          <w:tcPr>
            <w:tcW w:w="162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20″1</w:t>
            </w:r>
          </w:p>
        </w:tc>
        <w:tc>
          <w:tcPr>
            <w:tcW w:w="122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19″6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19″1</w:t>
            </w:r>
          </w:p>
        </w:tc>
        <w:tc>
          <w:tcPr>
            <w:tcW w:w="141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18″6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18″1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17″6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17″1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16″6</w:t>
            </w:r>
          </w:p>
        </w:tc>
        <w:tc>
          <w:tcPr>
            <w:tcW w:w="142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16″1</w:t>
            </w:r>
          </w:p>
        </w:tc>
        <w:tc>
          <w:tcPr>
            <w:tcW w:w="162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15″6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3854" w:type="dxa"/>
            <w:gridSpan w:val="3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10米长的直线跑道，在跑道的两端（S1和S2）外30厘米的地方各划一条线，该区域用来放小木头，S1线外放一块，S2线外放两块。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178" w:rightChars="8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drawing>
                <wp:inline distT="0" distB="0" distL="114300" distR="114300">
                  <wp:extent cx="4457700" cy="2501900"/>
                  <wp:effectExtent l="0" t="0" r="0" b="12700"/>
                  <wp:docPr id="6" name="图片 6" descr="往返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往返跑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8" w:lineRule="atLeast"/>
              <w:ind w:left="0"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受测者用站立式起跑，听到起跑指令之后从S1线外起跑；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8" w:lineRule="atLeast"/>
              <w:ind w:left="0"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当跑到S2线处，用一只手拿起一块木头，立刻往回跑；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8" w:lineRule="atLeast"/>
              <w:ind w:left="0"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回到S1线前面，交换手中的木头，立刻往回跑；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8" w:lineRule="atLeast"/>
              <w:ind w:left="0"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 xml:space="preserve">到达S2线前面，交换手中的木头，立刻往回跑；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8" w:lineRule="atLeast"/>
              <w:ind w:left="0"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最后手持木头冲出S1线并停表。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6.得分超出10分的，每递减0.5秒增加1分，本项最高15分。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178" w:rightChars="85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项目四：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100米跑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（秒）</w:t>
            </w: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1分</w:t>
            </w:r>
          </w:p>
        </w:tc>
        <w:tc>
          <w:tcPr>
            <w:tcW w:w="122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2分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3分</w:t>
            </w:r>
          </w:p>
        </w:tc>
        <w:tc>
          <w:tcPr>
            <w:tcW w:w="141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4分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5分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6分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7分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142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9分</w:t>
            </w:r>
          </w:p>
        </w:tc>
        <w:tc>
          <w:tcPr>
            <w:tcW w:w="162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16″7</w:t>
            </w:r>
          </w:p>
        </w:tc>
        <w:tc>
          <w:tcPr>
            <w:tcW w:w="122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16″4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16″1</w:t>
            </w:r>
          </w:p>
        </w:tc>
        <w:tc>
          <w:tcPr>
            <w:tcW w:w="1410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15″8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15″5</w:t>
            </w:r>
          </w:p>
        </w:tc>
        <w:tc>
          <w:tcPr>
            <w:tcW w:w="142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15″2</w:t>
            </w:r>
          </w:p>
        </w:tc>
        <w:tc>
          <w:tcPr>
            <w:tcW w:w="144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14″9</w:t>
            </w:r>
          </w:p>
        </w:tc>
        <w:tc>
          <w:tcPr>
            <w:tcW w:w="139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14″6</w:t>
            </w:r>
          </w:p>
        </w:tc>
        <w:tc>
          <w:tcPr>
            <w:tcW w:w="1425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14″3</w:t>
            </w:r>
          </w:p>
        </w:tc>
        <w:tc>
          <w:tcPr>
            <w:tcW w:w="162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14″0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3854" w:type="dxa"/>
            <w:gridSpan w:val="3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分组考核。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3.抢跑犯规，重新组织起跑；跑出本道或用其他方式干扰、阻碍他人者不记录成绩。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4.得分超出10分的，每递减0.3秒增加1分，本项最高15分。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restart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项目五：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 w:bidi="ar"/>
              </w:rPr>
              <w:t>运动投篮</w:t>
            </w:r>
          </w:p>
        </w:tc>
        <w:tc>
          <w:tcPr>
            <w:tcW w:w="13854" w:type="dxa"/>
            <w:gridSpan w:val="3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投进1球得2分，本项最高20分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3854" w:type="dxa"/>
            <w:gridSpan w:val="3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以篮圈中心投影点为中心，5.5米为半径画弧，考生在弧线外进行1分钟自投自抢，1分内出手的进球均计入得分。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投篮方式不限，投篮必须在弧线外，不准踩线，踩线投篮投中无效。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测试过程中对运球不作要求。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4" w:hRule="atLeast"/>
        </w:trPr>
        <w:tc>
          <w:tcPr>
            <w:tcW w:w="1506" w:type="dxa"/>
            <w:gridSpan w:val="2"/>
            <w:vMerge w:val="restart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项目六：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  <w:t>半场“V”字运球上篮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(秒)</w:t>
            </w:r>
          </w:p>
        </w:tc>
        <w:tc>
          <w:tcPr>
            <w:tcW w:w="138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4分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6分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8分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10分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12分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14分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16分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18分</w:t>
            </w:r>
          </w:p>
        </w:tc>
        <w:tc>
          <w:tcPr>
            <w:tcW w:w="13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4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5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  <w:tc>
          <w:tcPr>
            <w:tcW w:w="13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″0</w:t>
            </w:r>
          </w:p>
        </w:tc>
      </w:tr>
      <w:tr>
        <w:tblPrEx>
          <w:tblBorders>
            <w:top w:val="single" w:color="E6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5" w:type="dxa"/>
          <w:trHeight w:val="375" w:hRule="atLeast"/>
        </w:trPr>
        <w:tc>
          <w:tcPr>
            <w:tcW w:w="1506" w:type="dxa"/>
            <w:gridSpan w:val="2"/>
            <w:vMerge w:val="continue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F1F1" w:themeFill="background1" w:themeFillShade="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3854" w:type="dxa"/>
            <w:gridSpan w:val="3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受测者站在中线与边线交叉指定的位置上持球准备，听到口令后（开表）用右手运球上篮（必须运球3次以上），不进，右手补进为止，再抢篮板球，再用右手运球到另一边中线与边线交叉指定地方，踩线，转身用左手运球上篮，不进，用左手补进为止，左手运球回到开始指定位置。（停表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8" w:lineRule="atLeast"/>
              <w:ind w:right="0" w:rightChars="0"/>
              <w:jc w:val="left"/>
              <w:rPr>
                <w:rFonts w:hint="default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本项测试用时超过24秒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不得分。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236" w:right="1440" w:bottom="1236" w:left="1440" w:header="851" w:footer="992" w:gutter="0"/>
          <w:pgNumType w:start="1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23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23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B89120"/>
    <w:multiLevelType w:val="singleLevel"/>
    <w:tmpl w:val="96B891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66CDEC"/>
    <w:multiLevelType w:val="singleLevel"/>
    <w:tmpl w:val="9B66CD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17203E9"/>
    <w:multiLevelType w:val="singleLevel"/>
    <w:tmpl w:val="B1720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079096"/>
    <w:multiLevelType w:val="singleLevel"/>
    <w:tmpl w:val="11079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207F54"/>
    <w:multiLevelType w:val="singleLevel"/>
    <w:tmpl w:val="4F207F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B8D7F7"/>
    <w:multiLevelType w:val="singleLevel"/>
    <w:tmpl w:val="6FB8D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C48A2"/>
    <w:rsid w:val="07A665A9"/>
    <w:rsid w:val="08A9766D"/>
    <w:rsid w:val="0BE50AA9"/>
    <w:rsid w:val="1DF82ECE"/>
    <w:rsid w:val="22F02B26"/>
    <w:rsid w:val="2E6F5D98"/>
    <w:rsid w:val="2E9A37BD"/>
    <w:rsid w:val="35D26F96"/>
    <w:rsid w:val="370F5B75"/>
    <w:rsid w:val="3E7953FA"/>
    <w:rsid w:val="3F0F4EFD"/>
    <w:rsid w:val="43394FF7"/>
    <w:rsid w:val="4B510550"/>
    <w:rsid w:val="556760B0"/>
    <w:rsid w:val="5BA34B0E"/>
    <w:rsid w:val="5BD31052"/>
    <w:rsid w:val="5F78566F"/>
    <w:rsid w:val="605217EF"/>
    <w:rsid w:val="669C48A2"/>
    <w:rsid w:val="68686E33"/>
    <w:rsid w:val="6ACB5389"/>
    <w:rsid w:val="6B371110"/>
    <w:rsid w:val="732141EA"/>
    <w:rsid w:val="75096B3C"/>
    <w:rsid w:val="75C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2117</Words>
  <Characters>2246</Characters>
  <Lines>0</Lines>
  <Paragraphs>0</Paragraphs>
  <TotalTime>0</TotalTime>
  <ScaleCrop>false</ScaleCrop>
  <LinksUpToDate>false</LinksUpToDate>
  <CharactersWithSpaces>2342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2021-05-13T02:25:00Z</dcterms:created>
  <dc:creator>tuzw</dc:creator>
  <cp:lastModifiedBy>程丽燕</cp:lastModifiedBy>
  <dcterms:modified xsi:type="dcterms:W3CDTF">2021-11-11T04:03:01Z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F813D25C4863423BB52BAE420224A65A</vt:lpwstr>
  </property>
</Properties>
</file>