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余姚市发展和改革局</w:t>
      </w:r>
      <w:bookmarkStart w:id="0" w:name="_GoBack"/>
      <w:bookmarkEnd w:id="0"/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公开招聘编外人员报名登记表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450"/>
        <w:gridCol w:w="210"/>
        <w:gridCol w:w="60"/>
        <w:gridCol w:w="624"/>
        <w:gridCol w:w="21"/>
        <w:gridCol w:w="255"/>
        <w:gridCol w:w="60"/>
        <w:gridCol w:w="669"/>
        <w:gridCol w:w="40"/>
        <w:gridCol w:w="7"/>
        <w:gridCol w:w="525"/>
        <w:gridCol w:w="360"/>
        <w:gridCol w:w="560"/>
        <w:gridCol w:w="23"/>
        <w:gridCol w:w="227"/>
        <w:gridCol w:w="8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6A7"/>
    <w:rsid w:val="001A3C20"/>
    <w:rsid w:val="007F56A7"/>
    <w:rsid w:val="150E3EAC"/>
    <w:rsid w:val="4F8853A0"/>
    <w:rsid w:val="71CC4566"/>
    <w:rsid w:val="728E6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2020-06-17T09:28:00Z</dcterms:created>
  <dc:creator>lenovo</dc:creator>
  <cp:lastModifiedBy>韩瑶佳</cp:lastModifiedBy>
  <dcterms:modified xsi:type="dcterms:W3CDTF">2022-01-04T09:00:03Z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