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color w:val="000000"/>
        </w:rPr>
      </w:pPr>
      <w:r>
        <w:rPr>
          <w:rFonts w:ascii="Times New Roman" w:hAnsi="Times New Roman" w:eastAsia="黑体" w:cs="Times New Roman"/>
          <w:color w:val="000000"/>
        </w:rPr>
        <w:t>附件</w:t>
      </w:r>
    </w:p>
    <w:p>
      <w:pPr>
        <w:spacing w:line="60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张家界市武陵源区2022年公开引进急需紧缺人才职位计划表</w:t>
      </w:r>
    </w:p>
    <w:tbl>
      <w:tblPr>
        <w:tblStyle w:val="6"/>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25"/>
        <w:gridCol w:w="1086"/>
        <w:gridCol w:w="500"/>
        <w:gridCol w:w="575"/>
        <w:gridCol w:w="1075"/>
        <w:gridCol w:w="1863"/>
        <w:gridCol w:w="1541"/>
        <w:gridCol w:w="1080"/>
        <w:gridCol w:w="1695"/>
        <w:gridCol w:w="870"/>
        <w:gridCol w:w="97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6" w:type="dxa"/>
            <w:vMerge w:val="restart"/>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序号</w:t>
            </w:r>
          </w:p>
        </w:tc>
        <w:tc>
          <w:tcPr>
            <w:tcW w:w="1125" w:type="dxa"/>
            <w:vMerge w:val="restart"/>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引进单位名称</w:t>
            </w:r>
          </w:p>
        </w:tc>
        <w:tc>
          <w:tcPr>
            <w:tcW w:w="1086" w:type="dxa"/>
            <w:vMerge w:val="restart"/>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引进岗位</w:t>
            </w:r>
          </w:p>
        </w:tc>
        <w:tc>
          <w:tcPr>
            <w:tcW w:w="1075" w:type="dxa"/>
            <w:gridSpan w:val="2"/>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引进计划</w:t>
            </w:r>
          </w:p>
        </w:tc>
        <w:tc>
          <w:tcPr>
            <w:tcW w:w="7254" w:type="dxa"/>
            <w:gridSpan w:val="5"/>
            <w:vAlign w:val="center"/>
          </w:tcPr>
          <w:p>
            <w:pPr>
              <w:spacing w:line="300" w:lineRule="exact"/>
              <w:ind w:left="588"/>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引进对象报名要求</w:t>
            </w:r>
          </w:p>
        </w:tc>
        <w:tc>
          <w:tcPr>
            <w:tcW w:w="870" w:type="dxa"/>
            <w:vMerge w:val="restart"/>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引进单位待遇</w:t>
            </w:r>
          </w:p>
        </w:tc>
        <w:tc>
          <w:tcPr>
            <w:tcW w:w="2480" w:type="dxa"/>
            <w:gridSpan w:val="2"/>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引进单位联系方式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6" w:type="dxa"/>
            <w:vMerge w:val="continue"/>
            <w:vAlign w:val="center"/>
          </w:tcPr>
          <w:p>
            <w:pPr>
              <w:spacing w:line="300" w:lineRule="exact"/>
              <w:jc w:val="center"/>
              <w:rPr>
                <w:rFonts w:ascii="Times New Roman" w:hAnsi="Times New Roman" w:eastAsia="黑体" w:cs="Times New Roman"/>
                <w:color w:val="000000"/>
                <w:sz w:val="21"/>
                <w:szCs w:val="21"/>
              </w:rPr>
            </w:pPr>
          </w:p>
        </w:tc>
        <w:tc>
          <w:tcPr>
            <w:tcW w:w="1125" w:type="dxa"/>
            <w:vMerge w:val="continue"/>
            <w:vAlign w:val="center"/>
          </w:tcPr>
          <w:p>
            <w:pPr>
              <w:spacing w:line="300" w:lineRule="exact"/>
              <w:jc w:val="center"/>
              <w:rPr>
                <w:rFonts w:ascii="Times New Roman" w:hAnsi="Times New Roman" w:eastAsia="黑体" w:cs="Times New Roman"/>
                <w:color w:val="000000"/>
                <w:sz w:val="21"/>
                <w:szCs w:val="21"/>
              </w:rPr>
            </w:pPr>
          </w:p>
        </w:tc>
        <w:tc>
          <w:tcPr>
            <w:tcW w:w="1086" w:type="dxa"/>
            <w:vMerge w:val="continue"/>
            <w:vAlign w:val="center"/>
          </w:tcPr>
          <w:p>
            <w:pPr>
              <w:spacing w:line="300" w:lineRule="exact"/>
              <w:jc w:val="center"/>
              <w:rPr>
                <w:rFonts w:ascii="Times New Roman" w:hAnsi="Times New Roman" w:eastAsia="黑体" w:cs="Times New Roman"/>
                <w:color w:val="000000"/>
                <w:sz w:val="21"/>
                <w:szCs w:val="21"/>
              </w:rPr>
            </w:pPr>
          </w:p>
        </w:tc>
        <w:tc>
          <w:tcPr>
            <w:tcW w:w="500"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管理</w:t>
            </w:r>
          </w:p>
        </w:tc>
        <w:tc>
          <w:tcPr>
            <w:tcW w:w="575"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专技</w:t>
            </w:r>
          </w:p>
        </w:tc>
        <w:tc>
          <w:tcPr>
            <w:tcW w:w="1075"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年龄要求</w:t>
            </w:r>
          </w:p>
        </w:tc>
        <w:tc>
          <w:tcPr>
            <w:tcW w:w="1863"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学历学位要求</w:t>
            </w:r>
          </w:p>
        </w:tc>
        <w:tc>
          <w:tcPr>
            <w:tcW w:w="1541"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专业要求</w:t>
            </w:r>
          </w:p>
        </w:tc>
        <w:tc>
          <w:tcPr>
            <w:tcW w:w="1080"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职称要求</w:t>
            </w:r>
          </w:p>
        </w:tc>
        <w:tc>
          <w:tcPr>
            <w:tcW w:w="1695"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其他要求</w:t>
            </w:r>
          </w:p>
        </w:tc>
        <w:tc>
          <w:tcPr>
            <w:tcW w:w="870" w:type="dxa"/>
            <w:vMerge w:val="continue"/>
            <w:vAlign w:val="center"/>
          </w:tcPr>
          <w:p>
            <w:pPr>
              <w:spacing w:line="300" w:lineRule="exact"/>
              <w:jc w:val="center"/>
              <w:rPr>
                <w:rFonts w:ascii="Times New Roman" w:hAnsi="Times New Roman" w:eastAsia="黑体" w:cs="Times New Roman"/>
                <w:color w:val="000000"/>
                <w:sz w:val="21"/>
                <w:szCs w:val="21"/>
              </w:rPr>
            </w:pPr>
          </w:p>
        </w:tc>
        <w:tc>
          <w:tcPr>
            <w:tcW w:w="975"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联系人</w:t>
            </w:r>
          </w:p>
        </w:tc>
        <w:tc>
          <w:tcPr>
            <w:tcW w:w="1505" w:type="dxa"/>
            <w:vAlign w:val="center"/>
          </w:tcPr>
          <w:p>
            <w:pPr>
              <w:spacing w:line="300" w:lineRule="exact"/>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96" w:type="dxa"/>
            <w:shd w:val="clear" w:color="auto" w:fill="auto"/>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25" w:type="dxa"/>
            <w:vMerge w:val="restart"/>
            <w:shd w:val="clear" w:color="auto" w:fill="auto"/>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武陵源区委宣传部所属事业单位</w:t>
            </w: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管理岗位</w:t>
            </w:r>
          </w:p>
        </w:tc>
        <w:tc>
          <w:tcPr>
            <w:tcW w:w="50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575" w:type="dxa"/>
            <w:shd w:val="clear" w:color="auto" w:fill="auto"/>
            <w:vAlign w:val="center"/>
          </w:tcPr>
          <w:p>
            <w:pPr>
              <w:spacing w:line="300" w:lineRule="exact"/>
              <w:jc w:val="center"/>
              <w:rPr>
                <w:rFonts w:ascii="Times New Roman" w:hAnsi="Times New Roman" w:cs="Times New Roman"/>
                <w:sz w:val="21"/>
                <w:szCs w:val="21"/>
              </w:rPr>
            </w:pPr>
          </w:p>
        </w:tc>
        <w:tc>
          <w:tcPr>
            <w:tcW w:w="1075" w:type="dxa"/>
            <w:vMerge w:val="restart"/>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博士研究生年龄在35周岁及以下，硕士研究生年龄在30周岁及以下</w:t>
            </w:r>
          </w:p>
        </w:tc>
        <w:tc>
          <w:tcPr>
            <w:tcW w:w="1863" w:type="dxa"/>
            <w:vMerge w:val="restart"/>
            <w:shd w:val="clear" w:color="auto" w:fill="auto"/>
            <w:vAlign w:val="center"/>
          </w:tcPr>
          <w:p>
            <w:pPr>
              <w:pStyle w:val="2"/>
              <w:ind w:left="0" w:leftChars="0" w:firstLine="0" w:firstLineChars="0"/>
              <w:jc w:val="center"/>
              <w:rPr>
                <w:rFonts w:ascii="Times New Roman" w:hAnsi="Times New Roman" w:cs="Times New Roman"/>
              </w:rPr>
            </w:pPr>
            <w:r>
              <w:rPr>
                <w:rFonts w:ascii="Times New Roman" w:hAnsi="Times New Roman" w:cs="Times New Roman"/>
                <w:sz w:val="21"/>
                <w:szCs w:val="21"/>
              </w:rPr>
              <w:t>全日制硕士研究生或2017年以来通过全国硕士研究生招生统一考试的非全日制硕士研究生（本科学历为世界一流大学或拥有一流学科的大学）及以上学历学位</w:t>
            </w:r>
          </w:p>
        </w:tc>
        <w:tc>
          <w:tcPr>
            <w:tcW w:w="1541"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新闻学、传播学、新闻与传播硕士</w:t>
            </w:r>
          </w:p>
        </w:tc>
        <w:tc>
          <w:tcPr>
            <w:tcW w:w="108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169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870" w:type="dxa"/>
            <w:vMerge w:val="restart"/>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详见</w:t>
            </w:r>
          </w:p>
          <w:p>
            <w:pPr>
              <w:spacing w:line="300" w:lineRule="exact"/>
              <w:jc w:val="center"/>
              <w:rPr>
                <w:rFonts w:ascii="Times New Roman" w:hAnsi="Times New Roman" w:cs="Times New Roman"/>
                <w:sz w:val="21"/>
                <w:szCs w:val="21"/>
              </w:rPr>
            </w:pPr>
            <w:r>
              <w:rPr>
                <w:rFonts w:ascii="Times New Roman" w:hAnsi="Times New Roman" w:cs="Times New Roman"/>
                <w:sz w:val="21"/>
                <w:szCs w:val="21"/>
              </w:rPr>
              <w:t>公告</w:t>
            </w:r>
          </w:p>
        </w:tc>
        <w:tc>
          <w:tcPr>
            <w:tcW w:w="975" w:type="dxa"/>
            <w:vMerge w:val="restart"/>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武陵源区委人才办</w:t>
            </w:r>
          </w:p>
        </w:tc>
        <w:tc>
          <w:tcPr>
            <w:tcW w:w="1505" w:type="dxa"/>
            <w:vMerge w:val="restart"/>
            <w:vAlign w:val="center"/>
          </w:tcPr>
          <w:p>
            <w:pPr>
              <w:spacing w:line="300" w:lineRule="exact"/>
              <w:jc w:val="center"/>
              <w:rPr>
                <w:rFonts w:ascii="Times New Roman" w:hAnsi="Times New Roman" w:cs="Times New Roman"/>
                <w:spacing w:val="0"/>
                <w:sz w:val="21"/>
                <w:szCs w:val="21"/>
              </w:rPr>
            </w:pPr>
            <w:r>
              <w:rPr>
                <w:rFonts w:ascii="Times New Roman" w:hAnsi="Times New Roman" w:cs="Times New Roman"/>
                <w:spacing w:val="-12"/>
                <w:sz w:val="21"/>
                <w:szCs w:val="21"/>
              </w:rPr>
              <w:t>0744—5622617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96" w:type="dxa"/>
            <w:shd w:val="clear" w:color="auto" w:fill="auto"/>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125" w:type="dxa"/>
            <w:vMerge w:val="continue"/>
            <w:shd w:val="clear" w:color="auto" w:fill="auto"/>
            <w:vAlign w:val="center"/>
          </w:tcPr>
          <w:p>
            <w:pPr>
              <w:spacing w:line="300" w:lineRule="exact"/>
              <w:jc w:val="center"/>
              <w:rPr>
                <w:rFonts w:ascii="Times New Roman" w:hAnsi="Times New Roman" w:cs="Times New Roman"/>
                <w:color w:val="000000"/>
                <w:sz w:val="21"/>
                <w:szCs w:val="21"/>
              </w:rPr>
            </w:pP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管理岗位</w:t>
            </w:r>
          </w:p>
        </w:tc>
        <w:tc>
          <w:tcPr>
            <w:tcW w:w="50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575" w:type="dxa"/>
            <w:shd w:val="clear" w:color="auto" w:fill="auto"/>
            <w:vAlign w:val="center"/>
          </w:tcPr>
          <w:p>
            <w:pPr>
              <w:spacing w:line="300" w:lineRule="exact"/>
              <w:jc w:val="center"/>
              <w:rPr>
                <w:rFonts w:ascii="Times New Roman" w:hAnsi="Times New Roman" w:cs="Times New Roman"/>
                <w:sz w:val="21"/>
                <w:szCs w:val="21"/>
              </w:rPr>
            </w:pPr>
          </w:p>
        </w:tc>
        <w:tc>
          <w:tcPr>
            <w:tcW w:w="1075"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863"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541"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企业管理（含：财务管理、市场营销、人力资源管理）、工商管理硕士、</w:t>
            </w:r>
            <w:r>
              <w:rPr>
                <w:rFonts w:hint="eastAsia" w:ascii="Times New Roman" w:hAnsi="Times New Roman" w:cs="Times New Roman"/>
                <w:sz w:val="21"/>
                <w:szCs w:val="21"/>
              </w:rPr>
              <w:t>旅游管理、旅游管理硕士</w:t>
            </w:r>
          </w:p>
        </w:tc>
        <w:tc>
          <w:tcPr>
            <w:tcW w:w="108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169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870"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975" w:type="dxa"/>
            <w:vMerge w:val="continue"/>
            <w:vAlign w:val="center"/>
          </w:tcPr>
          <w:p>
            <w:pPr>
              <w:spacing w:line="300" w:lineRule="exact"/>
              <w:jc w:val="center"/>
              <w:rPr>
                <w:rFonts w:ascii="Times New Roman" w:hAnsi="Times New Roman" w:cs="Times New Roman"/>
                <w:sz w:val="21"/>
                <w:szCs w:val="21"/>
              </w:rPr>
            </w:pPr>
          </w:p>
        </w:tc>
        <w:tc>
          <w:tcPr>
            <w:tcW w:w="1505" w:type="dxa"/>
            <w:vMerge w:val="continue"/>
            <w:vAlign w:val="center"/>
          </w:tcPr>
          <w:p>
            <w:pPr>
              <w:spacing w:line="300" w:lineRule="exact"/>
              <w:jc w:val="center"/>
              <w:rPr>
                <w:rFonts w:ascii="Times New Roman" w:hAnsi="Times New Roman"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96" w:type="dxa"/>
            <w:shd w:val="clear" w:color="auto" w:fill="auto"/>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125" w:type="dxa"/>
            <w:vMerge w:val="restart"/>
            <w:shd w:val="clear" w:color="auto" w:fill="auto"/>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武陵源区大数据</w:t>
            </w:r>
          </w:p>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中心</w:t>
            </w: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电子</w:t>
            </w:r>
          </w:p>
          <w:p>
            <w:pPr>
              <w:spacing w:line="300" w:lineRule="exact"/>
              <w:jc w:val="center"/>
              <w:rPr>
                <w:rFonts w:ascii="Times New Roman" w:hAnsi="Times New Roman" w:cs="Times New Roman"/>
                <w:sz w:val="21"/>
                <w:szCs w:val="21"/>
              </w:rPr>
            </w:pPr>
            <w:r>
              <w:rPr>
                <w:rFonts w:ascii="Times New Roman" w:hAnsi="Times New Roman" w:cs="Times New Roman"/>
                <w:sz w:val="21"/>
                <w:szCs w:val="21"/>
              </w:rPr>
              <w:t>政务部</w:t>
            </w:r>
          </w:p>
        </w:tc>
        <w:tc>
          <w:tcPr>
            <w:tcW w:w="50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575" w:type="dxa"/>
            <w:shd w:val="clear" w:color="auto" w:fill="auto"/>
            <w:vAlign w:val="center"/>
          </w:tcPr>
          <w:p>
            <w:pPr>
              <w:spacing w:line="300" w:lineRule="exact"/>
              <w:jc w:val="center"/>
              <w:rPr>
                <w:rFonts w:ascii="Times New Roman" w:hAnsi="Times New Roman" w:cs="Times New Roman"/>
                <w:sz w:val="21"/>
                <w:szCs w:val="21"/>
              </w:rPr>
            </w:pPr>
          </w:p>
        </w:tc>
        <w:tc>
          <w:tcPr>
            <w:tcW w:w="1075"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863"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541" w:type="dxa"/>
            <w:vMerge w:val="restart"/>
            <w:shd w:val="clear" w:color="auto" w:fill="auto"/>
            <w:vAlign w:val="center"/>
          </w:tcPr>
          <w:p>
            <w:pPr>
              <w:spacing w:line="300" w:lineRule="exact"/>
              <w:jc w:val="center"/>
              <w:rPr>
                <w:rFonts w:ascii="Times New Roman" w:hAnsi="Times New Roman" w:cs="Times New Roman"/>
                <w:sz w:val="21"/>
                <w:szCs w:val="21"/>
              </w:rPr>
            </w:pPr>
            <w:r>
              <w:rPr>
                <w:rFonts w:hint="eastAsia" w:ascii="Times New Roman" w:hAnsi="Times New Roman" w:cs="Times New Roman"/>
                <w:sz w:val="21"/>
                <w:szCs w:val="21"/>
              </w:rPr>
              <w:t>通信与信息系统、计算机系统结构、计算机软件与理论、计算机应用技术、软件工程、计算机技术硕士</w:t>
            </w:r>
          </w:p>
        </w:tc>
        <w:tc>
          <w:tcPr>
            <w:tcW w:w="108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169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870"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975" w:type="dxa"/>
            <w:vMerge w:val="continue"/>
            <w:vAlign w:val="center"/>
          </w:tcPr>
          <w:p>
            <w:pPr>
              <w:spacing w:line="300" w:lineRule="exact"/>
              <w:jc w:val="center"/>
              <w:rPr>
                <w:rFonts w:ascii="Times New Roman" w:hAnsi="Times New Roman" w:cs="Times New Roman"/>
                <w:sz w:val="21"/>
                <w:szCs w:val="21"/>
              </w:rPr>
            </w:pPr>
          </w:p>
        </w:tc>
        <w:tc>
          <w:tcPr>
            <w:tcW w:w="1505" w:type="dxa"/>
            <w:vMerge w:val="continue"/>
            <w:vAlign w:val="center"/>
          </w:tcPr>
          <w:p>
            <w:pPr>
              <w:spacing w:line="300" w:lineRule="exact"/>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696"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125" w:type="dxa"/>
            <w:vMerge w:val="continue"/>
            <w:vAlign w:val="center"/>
          </w:tcPr>
          <w:p>
            <w:pPr>
              <w:spacing w:line="300" w:lineRule="exact"/>
              <w:jc w:val="center"/>
              <w:rPr>
                <w:rFonts w:ascii="Times New Roman" w:hAnsi="Times New Roman" w:cs="Times New Roman"/>
                <w:color w:val="000000"/>
                <w:sz w:val="21"/>
                <w:szCs w:val="21"/>
              </w:rPr>
            </w:pP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网站</w:t>
            </w:r>
          </w:p>
          <w:p>
            <w:pPr>
              <w:spacing w:line="300" w:lineRule="exact"/>
              <w:jc w:val="center"/>
              <w:rPr>
                <w:rFonts w:ascii="Times New Roman" w:hAnsi="Times New Roman" w:cs="Times New Roman"/>
                <w:sz w:val="21"/>
                <w:szCs w:val="21"/>
              </w:rPr>
            </w:pPr>
            <w:r>
              <w:rPr>
                <w:rFonts w:ascii="Times New Roman" w:hAnsi="Times New Roman" w:cs="Times New Roman"/>
                <w:sz w:val="21"/>
                <w:szCs w:val="21"/>
              </w:rPr>
              <w:t>管理部</w:t>
            </w:r>
          </w:p>
        </w:tc>
        <w:tc>
          <w:tcPr>
            <w:tcW w:w="50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575" w:type="dxa"/>
            <w:shd w:val="clear" w:color="auto" w:fill="auto"/>
            <w:vAlign w:val="center"/>
          </w:tcPr>
          <w:p>
            <w:pPr>
              <w:spacing w:line="300" w:lineRule="exact"/>
              <w:jc w:val="center"/>
              <w:rPr>
                <w:rFonts w:ascii="Times New Roman" w:hAnsi="Times New Roman" w:cs="Times New Roman"/>
                <w:sz w:val="21"/>
                <w:szCs w:val="21"/>
              </w:rPr>
            </w:pPr>
          </w:p>
        </w:tc>
        <w:tc>
          <w:tcPr>
            <w:tcW w:w="1075"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863"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541" w:type="dxa"/>
            <w:vMerge w:val="continue"/>
            <w:vAlign w:val="center"/>
          </w:tcPr>
          <w:p>
            <w:pPr>
              <w:spacing w:line="300" w:lineRule="exact"/>
              <w:jc w:val="center"/>
              <w:rPr>
                <w:rFonts w:ascii="Times New Roman" w:hAnsi="Times New Roman" w:cs="Times New Roman"/>
                <w:sz w:val="21"/>
                <w:szCs w:val="21"/>
              </w:rPr>
            </w:pPr>
          </w:p>
        </w:tc>
        <w:tc>
          <w:tcPr>
            <w:tcW w:w="1080"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1695"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870" w:type="dxa"/>
            <w:vMerge w:val="continue"/>
            <w:vAlign w:val="center"/>
          </w:tcPr>
          <w:p>
            <w:pPr>
              <w:spacing w:line="300" w:lineRule="exact"/>
              <w:jc w:val="center"/>
              <w:rPr>
                <w:rFonts w:ascii="Times New Roman" w:hAnsi="Times New Roman" w:cs="Times New Roman"/>
                <w:sz w:val="21"/>
                <w:szCs w:val="21"/>
              </w:rPr>
            </w:pPr>
          </w:p>
        </w:tc>
        <w:tc>
          <w:tcPr>
            <w:tcW w:w="975" w:type="dxa"/>
            <w:vMerge w:val="continue"/>
            <w:vAlign w:val="center"/>
          </w:tcPr>
          <w:p>
            <w:pPr>
              <w:spacing w:line="300" w:lineRule="exact"/>
              <w:jc w:val="center"/>
              <w:rPr>
                <w:rFonts w:ascii="Times New Roman" w:hAnsi="Times New Roman" w:cs="Times New Roman"/>
                <w:sz w:val="21"/>
                <w:szCs w:val="21"/>
              </w:rPr>
            </w:pPr>
          </w:p>
        </w:tc>
        <w:tc>
          <w:tcPr>
            <w:tcW w:w="1505" w:type="dxa"/>
            <w:vMerge w:val="continue"/>
            <w:vAlign w:val="center"/>
          </w:tcPr>
          <w:p>
            <w:pPr>
              <w:spacing w:line="300" w:lineRule="exact"/>
              <w:jc w:val="center"/>
              <w:rPr>
                <w:rFonts w:ascii="Times New Roman" w:hAnsi="Times New Roman"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696"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125" w:type="dxa"/>
            <w:vMerge w:val="restart"/>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武陵源区疾控中心</w:t>
            </w: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传染病</w:t>
            </w:r>
          </w:p>
          <w:p>
            <w:pPr>
              <w:spacing w:line="300" w:lineRule="exact"/>
              <w:jc w:val="center"/>
              <w:rPr>
                <w:rFonts w:ascii="Times New Roman" w:hAnsi="Times New Roman" w:cs="Times New Roman"/>
                <w:sz w:val="21"/>
                <w:szCs w:val="21"/>
              </w:rPr>
            </w:pPr>
            <w:r>
              <w:rPr>
                <w:rFonts w:ascii="Times New Roman" w:hAnsi="Times New Roman" w:cs="Times New Roman"/>
                <w:sz w:val="21"/>
                <w:szCs w:val="21"/>
              </w:rPr>
              <w:t>防治科</w:t>
            </w:r>
          </w:p>
        </w:tc>
        <w:tc>
          <w:tcPr>
            <w:tcW w:w="500" w:type="dxa"/>
            <w:shd w:val="clear" w:color="auto" w:fill="auto"/>
            <w:vAlign w:val="center"/>
          </w:tcPr>
          <w:p>
            <w:pPr>
              <w:spacing w:line="300" w:lineRule="exact"/>
              <w:jc w:val="center"/>
              <w:rPr>
                <w:rFonts w:ascii="Times New Roman" w:hAnsi="Times New Roman" w:cs="Times New Roman"/>
                <w:sz w:val="21"/>
                <w:szCs w:val="21"/>
              </w:rPr>
            </w:pPr>
          </w:p>
        </w:tc>
        <w:tc>
          <w:tcPr>
            <w:tcW w:w="5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10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35周岁及以下（具有中级</w:t>
            </w:r>
            <w:r>
              <w:rPr>
                <w:rFonts w:hint="eastAsia" w:ascii="Times New Roman" w:hAnsi="Times New Roman" w:cs="Times New Roman"/>
                <w:sz w:val="21"/>
                <w:szCs w:val="21"/>
              </w:rPr>
              <w:t>及</w:t>
            </w:r>
            <w:r>
              <w:rPr>
                <w:rFonts w:ascii="Times New Roman" w:hAnsi="Times New Roman" w:cs="Times New Roman"/>
                <w:sz w:val="21"/>
                <w:szCs w:val="21"/>
              </w:rPr>
              <w:t>以上职称可放宽至40周岁）</w:t>
            </w:r>
          </w:p>
        </w:tc>
        <w:tc>
          <w:tcPr>
            <w:tcW w:w="1863"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全日制硕士研究生或2017年以来通过全国硕士研究生招生统一考试的非全日制硕士研究生（本科学历为世界一流大学或拥有一流学科的大学）及以上学历学位</w:t>
            </w:r>
          </w:p>
        </w:tc>
        <w:tc>
          <w:tcPr>
            <w:tcW w:w="1541" w:type="dxa"/>
            <w:vAlign w:val="center"/>
          </w:tcPr>
          <w:p>
            <w:pPr>
              <w:tabs>
                <w:tab w:val="left" w:pos="704"/>
              </w:tabs>
              <w:spacing w:line="300" w:lineRule="exact"/>
              <w:jc w:val="center"/>
              <w:rPr>
                <w:rFonts w:ascii="Times New Roman" w:hAnsi="Times New Roman" w:cs="Times New Roman"/>
                <w:sz w:val="21"/>
                <w:szCs w:val="21"/>
              </w:rPr>
            </w:pPr>
            <w:r>
              <w:rPr>
                <w:rFonts w:ascii="Times New Roman" w:hAnsi="Times New Roman" w:cs="Times New Roman"/>
                <w:sz w:val="21"/>
                <w:szCs w:val="21"/>
              </w:rPr>
              <w:t>公共卫生硕士</w:t>
            </w:r>
          </w:p>
        </w:tc>
        <w:tc>
          <w:tcPr>
            <w:tcW w:w="1080"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初级以上</w:t>
            </w:r>
          </w:p>
        </w:tc>
        <w:tc>
          <w:tcPr>
            <w:tcW w:w="1695"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870" w:type="dxa"/>
            <w:vMerge w:val="restart"/>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详见</w:t>
            </w:r>
          </w:p>
          <w:p>
            <w:pPr>
              <w:spacing w:line="300" w:lineRule="exact"/>
              <w:jc w:val="center"/>
              <w:rPr>
                <w:rFonts w:ascii="Times New Roman" w:hAnsi="Times New Roman" w:cs="Times New Roman"/>
                <w:sz w:val="21"/>
                <w:szCs w:val="21"/>
              </w:rPr>
            </w:pPr>
            <w:r>
              <w:rPr>
                <w:rFonts w:ascii="Times New Roman" w:hAnsi="Times New Roman" w:cs="Times New Roman"/>
                <w:sz w:val="21"/>
                <w:szCs w:val="21"/>
              </w:rPr>
              <w:t>公告</w:t>
            </w:r>
          </w:p>
        </w:tc>
        <w:tc>
          <w:tcPr>
            <w:tcW w:w="975" w:type="dxa"/>
            <w:vMerge w:val="restart"/>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武陵源区委人才办</w:t>
            </w:r>
          </w:p>
        </w:tc>
        <w:tc>
          <w:tcPr>
            <w:tcW w:w="1505" w:type="dxa"/>
            <w:vMerge w:val="restart"/>
            <w:vAlign w:val="center"/>
          </w:tcPr>
          <w:p>
            <w:pPr>
              <w:spacing w:line="300" w:lineRule="exact"/>
              <w:jc w:val="center"/>
              <w:rPr>
                <w:rFonts w:ascii="Times New Roman" w:hAnsi="Times New Roman" w:cs="Times New Roman"/>
                <w:spacing w:val="0"/>
                <w:sz w:val="21"/>
                <w:szCs w:val="21"/>
              </w:rPr>
            </w:pPr>
            <w:r>
              <w:rPr>
                <w:rFonts w:ascii="Times New Roman" w:hAnsi="Times New Roman" w:cs="Times New Roman"/>
                <w:spacing w:val="-12"/>
                <w:sz w:val="21"/>
                <w:szCs w:val="21"/>
              </w:rPr>
              <w:t>0744—5622617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96"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125" w:type="dxa"/>
            <w:vMerge w:val="continue"/>
            <w:vAlign w:val="center"/>
          </w:tcPr>
          <w:p>
            <w:pPr>
              <w:spacing w:line="300" w:lineRule="exact"/>
              <w:jc w:val="center"/>
              <w:rPr>
                <w:rFonts w:ascii="Times New Roman" w:hAnsi="Times New Roman" w:cs="Times New Roman"/>
                <w:color w:val="000000"/>
                <w:sz w:val="21"/>
                <w:szCs w:val="21"/>
              </w:rPr>
            </w:pP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应急办</w:t>
            </w:r>
          </w:p>
        </w:tc>
        <w:tc>
          <w:tcPr>
            <w:tcW w:w="500" w:type="dxa"/>
            <w:shd w:val="clear" w:color="auto" w:fill="auto"/>
            <w:vAlign w:val="center"/>
          </w:tcPr>
          <w:p>
            <w:pPr>
              <w:spacing w:line="300" w:lineRule="exact"/>
              <w:jc w:val="center"/>
              <w:rPr>
                <w:rFonts w:ascii="Times New Roman" w:hAnsi="Times New Roman" w:cs="Times New Roman"/>
                <w:sz w:val="21"/>
                <w:szCs w:val="21"/>
              </w:rPr>
            </w:pPr>
          </w:p>
        </w:tc>
        <w:tc>
          <w:tcPr>
            <w:tcW w:w="5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10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pacing w:val="-23"/>
                <w:sz w:val="21"/>
                <w:szCs w:val="21"/>
              </w:rPr>
              <w:t>35周岁及以下（具有中级</w:t>
            </w:r>
            <w:r>
              <w:rPr>
                <w:rFonts w:hint="eastAsia" w:ascii="Times New Roman" w:hAnsi="Times New Roman" w:cs="Times New Roman"/>
                <w:spacing w:val="-23"/>
                <w:sz w:val="21"/>
                <w:szCs w:val="21"/>
              </w:rPr>
              <w:t>及</w:t>
            </w:r>
            <w:r>
              <w:rPr>
                <w:rFonts w:ascii="Times New Roman" w:hAnsi="Times New Roman" w:cs="Times New Roman"/>
                <w:spacing w:val="-23"/>
                <w:sz w:val="21"/>
                <w:szCs w:val="21"/>
              </w:rPr>
              <w:t>以上职称可放宽至40周岁）</w:t>
            </w:r>
          </w:p>
        </w:tc>
        <w:tc>
          <w:tcPr>
            <w:tcW w:w="1863" w:type="dxa"/>
            <w:vMerge w:val="restart"/>
            <w:shd w:val="clear" w:color="auto" w:fill="auto"/>
            <w:vAlign w:val="center"/>
          </w:tcPr>
          <w:p>
            <w:pPr>
              <w:spacing w:line="260" w:lineRule="exact"/>
              <w:jc w:val="center"/>
              <w:rPr>
                <w:rFonts w:ascii="Times New Roman" w:hAnsi="Times New Roman" w:cs="Times New Roman"/>
                <w:sz w:val="21"/>
                <w:szCs w:val="21"/>
              </w:rPr>
            </w:pPr>
            <w:r>
              <w:rPr>
                <w:rFonts w:ascii="Times New Roman" w:hAnsi="Times New Roman" w:cs="Times New Roman"/>
                <w:spacing w:val="-11"/>
                <w:sz w:val="21"/>
                <w:szCs w:val="21"/>
              </w:rPr>
              <w:t>大学本科及以上学历学位（学历为大学本科的，毕业院校应为世界一流大学或拥有一流学科的大学，且具有国家承认的学士学位）</w:t>
            </w:r>
          </w:p>
        </w:tc>
        <w:tc>
          <w:tcPr>
            <w:tcW w:w="1541"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临床医学、预防医学</w:t>
            </w:r>
          </w:p>
        </w:tc>
        <w:tc>
          <w:tcPr>
            <w:tcW w:w="1080"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初级以上</w:t>
            </w:r>
          </w:p>
        </w:tc>
        <w:tc>
          <w:tcPr>
            <w:tcW w:w="1695"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870" w:type="dxa"/>
            <w:vMerge w:val="continue"/>
            <w:vAlign w:val="center"/>
          </w:tcPr>
          <w:p>
            <w:pPr>
              <w:spacing w:line="300" w:lineRule="exact"/>
              <w:jc w:val="center"/>
              <w:rPr>
                <w:rFonts w:ascii="Times New Roman" w:hAnsi="Times New Roman" w:cs="Times New Roman"/>
                <w:sz w:val="21"/>
                <w:szCs w:val="21"/>
              </w:rPr>
            </w:pPr>
          </w:p>
        </w:tc>
        <w:tc>
          <w:tcPr>
            <w:tcW w:w="975" w:type="dxa"/>
            <w:vMerge w:val="continue"/>
            <w:vAlign w:val="center"/>
          </w:tcPr>
          <w:p>
            <w:pPr>
              <w:spacing w:line="300" w:lineRule="exact"/>
              <w:jc w:val="center"/>
              <w:rPr>
                <w:rFonts w:ascii="Times New Roman" w:hAnsi="Times New Roman" w:cs="Times New Roman"/>
                <w:sz w:val="21"/>
                <w:szCs w:val="21"/>
              </w:rPr>
            </w:pPr>
          </w:p>
        </w:tc>
        <w:tc>
          <w:tcPr>
            <w:tcW w:w="1505" w:type="dxa"/>
            <w:vMerge w:val="continue"/>
            <w:vAlign w:val="center"/>
          </w:tcPr>
          <w:p>
            <w:pPr>
              <w:spacing w:line="300" w:lineRule="exact"/>
              <w:jc w:val="center"/>
              <w:rPr>
                <w:rFonts w:ascii="Times New Roman" w:hAnsi="Times New Roman" w:cs="Times New Roman"/>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6"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125" w:type="dxa"/>
            <w:vMerge w:val="continue"/>
            <w:vAlign w:val="center"/>
          </w:tcPr>
          <w:p>
            <w:pPr>
              <w:spacing w:line="300" w:lineRule="exact"/>
              <w:jc w:val="center"/>
              <w:rPr>
                <w:rFonts w:ascii="Times New Roman" w:hAnsi="Times New Roman" w:cs="Times New Roman"/>
                <w:color w:val="000000"/>
                <w:sz w:val="21"/>
                <w:szCs w:val="21"/>
              </w:rPr>
            </w:pP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检验科</w:t>
            </w:r>
          </w:p>
        </w:tc>
        <w:tc>
          <w:tcPr>
            <w:tcW w:w="500" w:type="dxa"/>
            <w:shd w:val="clear" w:color="auto" w:fill="auto"/>
            <w:vAlign w:val="center"/>
          </w:tcPr>
          <w:p>
            <w:pPr>
              <w:spacing w:line="300" w:lineRule="exact"/>
              <w:jc w:val="center"/>
              <w:rPr>
                <w:rFonts w:ascii="Times New Roman" w:hAnsi="Times New Roman" w:cs="Times New Roman"/>
                <w:sz w:val="21"/>
                <w:szCs w:val="21"/>
              </w:rPr>
            </w:pPr>
          </w:p>
        </w:tc>
        <w:tc>
          <w:tcPr>
            <w:tcW w:w="5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10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35周岁及以下</w:t>
            </w:r>
          </w:p>
        </w:tc>
        <w:tc>
          <w:tcPr>
            <w:tcW w:w="1863"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541"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医学检验技术、卫生检验与</w:t>
            </w:r>
          </w:p>
          <w:p>
            <w:pPr>
              <w:spacing w:line="300" w:lineRule="exact"/>
              <w:jc w:val="center"/>
              <w:rPr>
                <w:rFonts w:ascii="Times New Roman" w:hAnsi="Times New Roman" w:cs="Times New Roman"/>
                <w:sz w:val="21"/>
                <w:szCs w:val="21"/>
              </w:rPr>
            </w:pPr>
            <w:r>
              <w:rPr>
                <w:rFonts w:ascii="Times New Roman" w:hAnsi="Times New Roman" w:cs="Times New Roman"/>
                <w:sz w:val="21"/>
                <w:szCs w:val="21"/>
              </w:rPr>
              <w:t>检疫</w:t>
            </w:r>
          </w:p>
        </w:tc>
        <w:tc>
          <w:tcPr>
            <w:tcW w:w="1080"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初级以上</w:t>
            </w:r>
          </w:p>
        </w:tc>
        <w:tc>
          <w:tcPr>
            <w:tcW w:w="1695"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无</w:t>
            </w:r>
          </w:p>
        </w:tc>
        <w:tc>
          <w:tcPr>
            <w:tcW w:w="870" w:type="dxa"/>
            <w:vMerge w:val="continue"/>
            <w:vAlign w:val="center"/>
          </w:tcPr>
          <w:p>
            <w:pPr>
              <w:spacing w:line="300" w:lineRule="exact"/>
              <w:jc w:val="center"/>
              <w:rPr>
                <w:rFonts w:ascii="Times New Roman" w:hAnsi="Times New Roman" w:cs="Times New Roman"/>
                <w:sz w:val="21"/>
                <w:szCs w:val="21"/>
              </w:rPr>
            </w:pPr>
          </w:p>
        </w:tc>
        <w:tc>
          <w:tcPr>
            <w:tcW w:w="975" w:type="dxa"/>
            <w:vMerge w:val="continue"/>
            <w:vAlign w:val="center"/>
          </w:tcPr>
          <w:p>
            <w:pPr>
              <w:spacing w:line="300" w:lineRule="exact"/>
              <w:jc w:val="center"/>
              <w:rPr>
                <w:rFonts w:ascii="Times New Roman" w:hAnsi="Times New Roman" w:cs="Times New Roman"/>
                <w:sz w:val="21"/>
                <w:szCs w:val="21"/>
              </w:rPr>
            </w:pPr>
          </w:p>
        </w:tc>
        <w:tc>
          <w:tcPr>
            <w:tcW w:w="1505" w:type="dxa"/>
            <w:vMerge w:val="continue"/>
            <w:vAlign w:val="center"/>
          </w:tcPr>
          <w:p>
            <w:pPr>
              <w:spacing w:line="300" w:lineRule="exact"/>
              <w:jc w:val="center"/>
              <w:rPr>
                <w:rFonts w:ascii="Times New Roman" w:hAnsi="Times New Roman" w:cs="Times New Roman"/>
                <w:spacing w:val="-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696"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125"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武陵源区人民医院</w:t>
            </w: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临床医师</w:t>
            </w:r>
          </w:p>
        </w:tc>
        <w:tc>
          <w:tcPr>
            <w:tcW w:w="500" w:type="dxa"/>
            <w:shd w:val="clear" w:color="auto" w:fill="auto"/>
            <w:vAlign w:val="center"/>
          </w:tcPr>
          <w:p>
            <w:pPr>
              <w:spacing w:line="300" w:lineRule="exact"/>
              <w:jc w:val="center"/>
              <w:rPr>
                <w:rFonts w:ascii="Times New Roman" w:hAnsi="Times New Roman" w:cs="Times New Roman"/>
                <w:sz w:val="21"/>
                <w:szCs w:val="21"/>
              </w:rPr>
            </w:pPr>
          </w:p>
        </w:tc>
        <w:tc>
          <w:tcPr>
            <w:tcW w:w="5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075"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35周岁及以下</w:t>
            </w:r>
          </w:p>
        </w:tc>
        <w:tc>
          <w:tcPr>
            <w:tcW w:w="1863"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pacing w:val="-11"/>
                <w:sz w:val="21"/>
                <w:szCs w:val="21"/>
              </w:rPr>
              <w:t>大学本科及以上学历学位（学历为大学本科的，毕业院校应为世界一流大学或拥有一流学科的大学，且具有国家承认的学士学位）</w:t>
            </w:r>
          </w:p>
        </w:tc>
        <w:tc>
          <w:tcPr>
            <w:tcW w:w="1541"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临床医学</w:t>
            </w:r>
          </w:p>
        </w:tc>
        <w:tc>
          <w:tcPr>
            <w:tcW w:w="1080"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执业医师资格证</w:t>
            </w:r>
          </w:p>
        </w:tc>
        <w:tc>
          <w:tcPr>
            <w:tcW w:w="1695"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有规培合格证；服务期不低于</w:t>
            </w:r>
          </w:p>
          <w:p>
            <w:pPr>
              <w:spacing w:line="300" w:lineRule="exact"/>
              <w:jc w:val="center"/>
              <w:rPr>
                <w:rFonts w:ascii="Times New Roman" w:hAnsi="Times New Roman" w:cs="Times New Roman"/>
                <w:sz w:val="21"/>
                <w:szCs w:val="21"/>
              </w:rPr>
            </w:pPr>
            <w:r>
              <w:rPr>
                <w:rFonts w:ascii="Times New Roman" w:hAnsi="Times New Roman" w:cs="Times New Roman"/>
                <w:sz w:val="21"/>
                <w:szCs w:val="21"/>
              </w:rPr>
              <w:t>5年</w:t>
            </w:r>
          </w:p>
        </w:tc>
        <w:tc>
          <w:tcPr>
            <w:tcW w:w="870" w:type="dxa"/>
            <w:vMerge w:val="continue"/>
            <w:vAlign w:val="center"/>
          </w:tcPr>
          <w:p>
            <w:pPr>
              <w:spacing w:line="300" w:lineRule="exact"/>
              <w:jc w:val="center"/>
              <w:rPr>
                <w:rFonts w:ascii="Times New Roman" w:hAnsi="Times New Roman" w:cs="Times New Roman"/>
                <w:sz w:val="21"/>
                <w:szCs w:val="21"/>
              </w:rPr>
            </w:pPr>
          </w:p>
        </w:tc>
        <w:tc>
          <w:tcPr>
            <w:tcW w:w="975"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田美娥、武陵源区委人才办</w:t>
            </w:r>
          </w:p>
        </w:tc>
        <w:tc>
          <w:tcPr>
            <w:tcW w:w="1505"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19974422566</w:t>
            </w:r>
          </w:p>
          <w:p>
            <w:pPr>
              <w:spacing w:line="300" w:lineRule="exact"/>
              <w:jc w:val="center"/>
              <w:rPr>
                <w:rFonts w:ascii="Times New Roman" w:hAnsi="Times New Roman" w:cs="Times New Roman"/>
                <w:color w:val="000000"/>
                <w:sz w:val="21"/>
                <w:szCs w:val="21"/>
              </w:rPr>
            </w:pPr>
            <w:r>
              <w:rPr>
                <w:rFonts w:ascii="Times New Roman" w:hAnsi="Times New Roman" w:cs="Times New Roman"/>
                <w:spacing w:val="-12"/>
                <w:sz w:val="21"/>
                <w:szCs w:val="21"/>
              </w:rPr>
              <w:t>0744—5622617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696"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125" w:type="dxa"/>
            <w:vMerge w:val="restart"/>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张家界市武陵源旅游产业发展有限公司</w:t>
            </w: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经营管理负责人</w:t>
            </w:r>
          </w:p>
        </w:tc>
        <w:tc>
          <w:tcPr>
            <w:tcW w:w="50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575" w:type="dxa"/>
            <w:shd w:val="clear" w:color="auto" w:fill="auto"/>
            <w:vAlign w:val="center"/>
          </w:tcPr>
          <w:p>
            <w:pPr>
              <w:spacing w:line="300" w:lineRule="exact"/>
              <w:jc w:val="center"/>
              <w:rPr>
                <w:rFonts w:ascii="Times New Roman" w:hAnsi="Times New Roman" w:cs="Times New Roman"/>
                <w:sz w:val="21"/>
                <w:szCs w:val="21"/>
              </w:rPr>
            </w:pPr>
          </w:p>
        </w:tc>
        <w:tc>
          <w:tcPr>
            <w:tcW w:w="1075" w:type="dxa"/>
            <w:vMerge w:val="restart"/>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40周岁及以下</w:t>
            </w:r>
          </w:p>
        </w:tc>
        <w:tc>
          <w:tcPr>
            <w:tcW w:w="1863" w:type="dxa"/>
            <w:vMerge w:val="restart"/>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全日制硕士研究生或2017年以来通过全国硕士研究生招生统一考试的非全日制硕士研究生（本科学历为世界一流大学或拥有一流学科的大学）及以上学历学位</w:t>
            </w:r>
          </w:p>
        </w:tc>
        <w:tc>
          <w:tcPr>
            <w:tcW w:w="1541"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财政学（含税收学）、金融学、产业经济学、会计学、企业管理（含：财务管理、市场营销、人力资源管理）、工商管理硕士</w:t>
            </w:r>
          </w:p>
        </w:tc>
        <w:tc>
          <w:tcPr>
            <w:tcW w:w="1080"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具有与岗位要求相适应的中级及以上专业技术职称</w:t>
            </w:r>
          </w:p>
        </w:tc>
        <w:tc>
          <w:tcPr>
            <w:tcW w:w="1695"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1.具有三年以上的企业经营管理工作经历或者与企业经营管理相关工作经历；2.具有同层级或同规模岗位任职经历一年以上或者下一层级岗位上任职达到三年以上的工作经历。</w:t>
            </w:r>
          </w:p>
        </w:tc>
        <w:tc>
          <w:tcPr>
            <w:tcW w:w="870" w:type="dxa"/>
            <w:vMerge w:val="restart"/>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工资参照公司中层管理级执行，人才引进待遇详见公告</w:t>
            </w:r>
          </w:p>
        </w:tc>
        <w:tc>
          <w:tcPr>
            <w:tcW w:w="975" w:type="dxa"/>
            <w:vMerge w:val="restart"/>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于静、武陵源区委人才办</w:t>
            </w:r>
          </w:p>
        </w:tc>
        <w:tc>
          <w:tcPr>
            <w:tcW w:w="1505" w:type="dxa"/>
            <w:vMerge w:val="restart"/>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13574448111</w:t>
            </w:r>
          </w:p>
          <w:p>
            <w:pPr>
              <w:spacing w:line="300" w:lineRule="exact"/>
              <w:jc w:val="center"/>
              <w:rPr>
                <w:rFonts w:ascii="Times New Roman" w:hAnsi="Times New Roman" w:cs="Times New Roman"/>
                <w:color w:val="000000"/>
                <w:sz w:val="21"/>
                <w:szCs w:val="21"/>
              </w:rPr>
            </w:pPr>
            <w:r>
              <w:rPr>
                <w:rFonts w:ascii="Times New Roman" w:hAnsi="Times New Roman" w:cs="Times New Roman"/>
                <w:spacing w:val="-12"/>
                <w:sz w:val="21"/>
                <w:szCs w:val="21"/>
              </w:rPr>
              <w:t>0744—5622617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96" w:type="dxa"/>
            <w:vAlign w:val="center"/>
          </w:tcPr>
          <w:p>
            <w:pPr>
              <w:spacing w:line="30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1125" w:type="dxa"/>
            <w:vMerge w:val="continue"/>
            <w:vAlign w:val="center"/>
          </w:tcPr>
          <w:p>
            <w:pPr>
              <w:spacing w:line="300" w:lineRule="exact"/>
              <w:jc w:val="center"/>
              <w:rPr>
                <w:rFonts w:ascii="Times New Roman" w:hAnsi="Times New Roman" w:cs="Times New Roman"/>
                <w:color w:val="000000"/>
                <w:sz w:val="21"/>
                <w:szCs w:val="21"/>
              </w:rPr>
            </w:pPr>
          </w:p>
        </w:tc>
        <w:tc>
          <w:tcPr>
            <w:tcW w:w="1086"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项目管理负责人</w:t>
            </w:r>
          </w:p>
        </w:tc>
        <w:tc>
          <w:tcPr>
            <w:tcW w:w="500" w:type="dxa"/>
            <w:shd w:val="clear" w:color="auto" w:fill="auto"/>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575" w:type="dxa"/>
            <w:shd w:val="clear" w:color="auto" w:fill="auto"/>
            <w:vAlign w:val="center"/>
          </w:tcPr>
          <w:p>
            <w:pPr>
              <w:spacing w:line="300" w:lineRule="exact"/>
              <w:jc w:val="center"/>
              <w:rPr>
                <w:rFonts w:ascii="Times New Roman" w:hAnsi="Times New Roman" w:cs="Times New Roman"/>
                <w:sz w:val="21"/>
                <w:szCs w:val="21"/>
              </w:rPr>
            </w:pPr>
          </w:p>
        </w:tc>
        <w:tc>
          <w:tcPr>
            <w:tcW w:w="1075"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863" w:type="dxa"/>
            <w:vMerge w:val="continue"/>
            <w:shd w:val="clear" w:color="auto" w:fill="auto"/>
            <w:vAlign w:val="center"/>
          </w:tcPr>
          <w:p>
            <w:pPr>
              <w:spacing w:line="300" w:lineRule="exact"/>
              <w:jc w:val="center"/>
              <w:rPr>
                <w:rFonts w:ascii="Times New Roman" w:hAnsi="Times New Roman" w:cs="Times New Roman"/>
                <w:sz w:val="21"/>
                <w:szCs w:val="21"/>
              </w:rPr>
            </w:pPr>
          </w:p>
        </w:tc>
        <w:tc>
          <w:tcPr>
            <w:tcW w:w="1541" w:type="dxa"/>
            <w:vAlign w:val="center"/>
          </w:tcPr>
          <w:p>
            <w:pPr>
              <w:spacing w:line="300" w:lineRule="exact"/>
              <w:jc w:val="left"/>
              <w:rPr>
                <w:rFonts w:ascii="Times New Roman" w:hAnsi="Times New Roman" w:cs="Times New Roman"/>
                <w:sz w:val="21"/>
                <w:szCs w:val="21"/>
              </w:rPr>
            </w:pPr>
            <w:r>
              <w:rPr>
                <w:rFonts w:ascii="Times New Roman" w:hAnsi="Times New Roman" w:cs="Times New Roman"/>
                <w:sz w:val="21"/>
                <w:szCs w:val="21"/>
              </w:rPr>
              <w:t>管理科学与工程、工程管理硕士</w:t>
            </w:r>
          </w:p>
        </w:tc>
        <w:tc>
          <w:tcPr>
            <w:tcW w:w="1080" w:type="dxa"/>
            <w:vAlign w:val="center"/>
          </w:tcPr>
          <w:p>
            <w:pPr>
              <w:spacing w:line="300" w:lineRule="exact"/>
              <w:jc w:val="center"/>
              <w:rPr>
                <w:rFonts w:ascii="Times New Roman" w:hAnsi="Times New Roman" w:cs="Times New Roman"/>
                <w:sz w:val="21"/>
                <w:szCs w:val="21"/>
              </w:rPr>
            </w:pPr>
            <w:r>
              <w:rPr>
                <w:rFonts w:ascii="Times New Roman" w:hAnsi="Times New Roman" w:cs="Times New Roman"/>
                <w:sz w:val="21"/>
                <w:szCs w:val="21"/>
              </w:rPr>
              <w:t>具有与岗位要求相适应的中级及以上专业技术职称</w:t>
            </w:r>
          </w:p>
        </w:tc>
        <w:tc>
          <w:tcPr>
            <w:tcW w:w="1695" w:type="dxa"/>
            <w:vAlign w:val="center"/>
          </w:tcPr>
          <w:p>
            <w:pPr>
              <w:spacing w:line="300" w:lineRule="exact"/>
              <w:jc w:val="left"/>
              <w:rPr>
                <w:rFonts w:ascii="Times New Roman" w:hAnsi="Times New Roman" w:cs="Times New Roman"/>
                <w:sz w:val="21"/>
                <w:szCs w:val="21"/>
              </w:rPr>
            </w:pPr>
            <w:r>
              <w:rPr>
                <w:rFonts w:ascii="Times New Roman" w:hAnsi="Times New Roman" w:cs="Times New Roman"/>
                <w:sz w:val="21"/>
                <w:szCs w:val="21"/>
              </w:rPr>
              <w:t>1.具有三年以上的企业项目管理工作经历或者与企业项目管理工作相关经历；2.具有同层级或同规模岗位任职经历一年以上或者下一层级岗位上任职达到三年以上的工作经历。</w:t>
            </w:r>
          </w:p>
        </w:tc>
        <w:tc>
          <w:tcPr>
            <w:tcW w:w="870" w:type="dxa"/>
            <w:vMerge w:val="continue"/>
            <w:vAlign w:val="center"/>
          </w:tcPr>
          <w:p>
            <w:pPr>
              <w:spacing w:line="300" w:lineRule="exact"/>
              <w:jc w:val="center"/>
              <w:rPr>
                <w:rFonts w:ascii="Times New Roman" w:hAnsi="Times New Roman" w:cs="Times New Roman"/>
                <w:sz w:val="21"/>
                <w:szCs w:val="21"/>
              </w:rPr>
            </w:pPr>
          </w:p>
        </w:tc>
        <w:tc>
          <w:tcPr>
            <w:tcW w:w="975" w:type="dxa"/>
            <w:vMerge w:val="continue"/>
            <w:vAlign w:val="center"/>
          </w:tcPr>
          <w:p>
            <w:pPr>
              <w:spacing w:line="300" w:lineRule="exact"/>
              <w:jc w:val="center"/>
              <w:rPr>
                <w:rFonts w:ascii="Times New Roman" w:hAnsi="Times New Roman" w:cs="Times New Roman"/>
                <w:sz w:val="21"/>
                <w:szCs w:val="21"/>
              </w:rPr>
            </w:pPr>
          </w:p>
        </w:tc>
        <w:tc>
          <w:tcPr>
            <w:tcW w:w="1505" w:type="dxa"/>
            <w:vMerge w:val="continue"/>
            <w:vAlign w:val="center"/>
          </w:tcPr>
          <w:p>
            <w:pPr>
              <w:spacing w:line="300" w:lineRule="exact"/>
              <w:rPr>
                <w:rFonts w:ascii="Times New Roman" w:hAnsi="Times New Roman" w:cs="Times New Roman"/>
                <w:spacing w:val="0"/>
                <w:sz w:val="21"/>
                <w:szCs w:val="21"/>
              </w:rPr>
            </w:pPr>
          </w:p>
        </w:tc>
      </w:tr>
    </w:tbl>
    <w:p>
      <w:pPr>
        <w:spacing w:line="340" w:lineRule="exact"/>
        <w:rPr>
          <w:rFonts w:ascii="Times New Roman" w:hAnsi="Times New Roman" w:cs="Times New Roman"/>
          <w:spacing w:val="0"/>
          <w:sz w:val="24"/>
          <w:szCs w:val="24"/>
        </w:rPr>
      </w:pPr>
    </w:p>
    <w:p>
      <w:bookmarkStart w:id="0" w:name="_GoBack"/>
      <w:bookmarkEnd w:id="0"/>
    </w:p>
    <w:sectPr>
      <w:headerReference r:id="rId3" w:type="default"/>
      <w:footerReference r:id="rId4" w:type="default"/>
      <w:footerReference r:id="rId5" w:type="even"/>
      <w:pgSz w:w="16838" w:h="11906" w:orient="landscape"/>
      <w:pgMar w:top="1587" w:right="1417" w:bottom="1417" w:left="1417" w:header="851" w:footer="992" w:gutter="0"/>
      <w:pgNumType w:fmt="numberInDash"/>
      <w:cols w:space="0" w:num="1"/>
      <w:docGrid w:type="linesAndChars" w:linePitch="31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16"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3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pacing w:val="-6"/>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2022-02-22T08:58:17Z</dcterms:created>
  <dc:creator>admin</dc:creator>
  <cp:lastModifiedBy>admin</cp:lastModifiedBy>
  <dcterms:modified xsi:type="dcterms:W3CDTF">2022-02-22T08:58:24Z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0000435A90E1479CB3E1AA778E98868F</vt:lpwstr>
  </property>
</Properties>
</file>